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8B763" w14:textId="77777777" w:rsidR="007426CE" w:rsidRPr="000D6614" w:rsidRDefault="007426CE" w:rsidP="007426CE"/>
    <w:p w14:paraId="48C02CAD" w14:textId="77777777" w:rsidR="007426CE" w:rsidRPr="000D6614" w:rsidRDefault="007426CE" w:rsidP="007426CE"/>
    <w:p w14:paraId="0F7ECF47" w14:textId="77777777" w:rsidR="007426CE" w:rsidRPr="000D6614" w:rsidRDefault="007426CE" w:rsidP="007426CE"/>
    <w:p w14:paraId="0EE295E3" w14:textId="77777777" w:rsidR="007426CE" w:rsidRPr="000D6614" w:rsidRDefault="007426CE" w:rsidP="007426CE"/>
    <w:p w14:paraId="259CD6B2" w14:textId="77777777" w:rsidR="007426CE" w:rsidRPr="000D6614" w:rsidRDefault="007426CE" w:rsidP="007426CE">
      <w:pPr>
        <w:pStyle w:val="Nzov"/>
      </w:pPr>
    </w:p>
    <w:p w14:paraId="0CE52B1B" w14:textId="77777777" w:rsidR="007426CE" w:rsidRPr="000D6614" w:rsidRDefault="00B9473F" w:rsidP="007426CE">
      <w:pPr>
        <w:pStyle w:val="Style1"/>
      </w:pPr>
      <w:r w:rsidRPr="000D6614">
        <w:t>Identifikátor právnickej osoby</w:t>
      </w:r>
    </w:p>
    <w:p w14:paraId="4EB36660" w14:textId="77777777" w:rsidR="007426CE" w:rsidRPr="000D6614" w:rsidRDefault="007426CE" w:rsidP="007426CE">
      <w:pPr>
        <w:rPr>
          <w:rFonts w:cs="Arial"/>
          <w:szCs w:val="24"/>
        </w:rPr>
      </w:pPr>
    </w:p>
    <w:p w14:paraId="536B5A39" w14:textId="77777777" w:rsidR="007426CE" w:rsidRPr="000D6614" w:rsidRDefault="007426CE" w:rsidP="007426CE">
      <w:pPr>
        <w:rPr>
          <w:rFonts w:cs="Arial"/>
          <w:szCs w:val="24"/>
        </w:rPr>
      </w:pPr>
    </w:p>
    <w:p w14:paraId="58712561" w14:textId="77777777" w:rsidR="007426CE" w:rsidRPr="000D6614" w:rsidRDefault="007426CE" w:rsidP="007426CE">
      <w:pPr>
        <w:rPr>
          <w:rFonts w:cs="Arial"/>
          <w:szCs w:val="24"/>
        </w:rPr>
      </w:pPr>
    </w:p>
    <w:p w14:paraId="07B3F0EE" w14:textId="2C0D2364" w:rsidR="007426CE" w:rsidRPr="000D6614" w:rsidRDefault="007426CE" w:rsidP="007426CE">
      <w:pPr>
        <w:pStyle w:val="Style1"/>
        <w:rPr>
          <w:sz w:val="44"/>
          <w:szCs w:val="44"/>
        </w:rPr>
      </w:pPr>
      <w:r w:rsidRPr="000D6614">
        <w:rPr>
          <w:sz w:val="44"/>
          <w:szCs w:val="44"/>
        </w:rPr>
        <w:t>Projekt Register a identifikátor právnických osôb a</w:t>
      </w:r>
      <w:r w:rsidR="00DB7E65">
        <w:rPr>
          <w:sz w:val="44"/>
          <w:szCs w:val="44"/>
        </w:rPr>
        <w:t> </w:t>
      </w:r>
      <w:r w:rsidRPr="000D6614">
        <w:rPr>
          <w:sz w:val="44"/>
          <w:szCs w:val="44"/>
        </w:rPr>
        <w:t>podnikateľov</w:t>
      </w:r>
    </w:p>
    <w:p w14:paraId="1D2E8326" w14:textId="77777777" w:rsidR="007426CE" w:rsidRPr="000D6614" w:rsidRDefault="007426CE" w:rsidP="007426CE">
      <w:pPr>
        <w:rPr>
          <w:rFonts w:cs="Arial"/>
          <w:szCs w:val="24"/>
        </w:rPr>
      </w:pPr>
    </w:p>
    <w:p w14:paraId="1C6A147C" w14:textId="77777777" w:rsidR="007426CE" w:rsidRPr="000D6614" w:rsidRDefault="007426CE" w:rsidP="007426CE">
      <w:pPr>
        <w:rPr>
          <w:rFonts w:cs="Arial"/>
          <w:szCs w:val="24"/>
        </w:rPr>
      </w:pPr>
    </w:p>
    <w:p w14:paraId="2CA09E0F" w14:textId="77777777" w:rsidR="007426CE" w:rsidRPr="000D6614" w:rsidRDefault="007426CE" w:rsidP="007426CE">
      <w:pPr>
        <w:rPr>
          <w:rFonts w:cs="Arial"/>
          <w:szCs w:val="24"/>
        </w:rPr>
      </w:pPr>
    </w:p>
    <w:p w14:paraId="28DC6417" w14:textId="77777777" w:rsidR="007426CE" w:rsidRPr="000D6614" w:rsidRDefault="007426CE" w:rsidP="007426CE">
      <w:pPr>
        <w:rPr>
          <w:rFonts w:cs="Arial"/>
          <w:szCs w:val="24"/>
        </w:rPr>
      </w:pPr>
    </w:p>
    <w:p w14:paraId="29F89A80" w14:textId="77777777" w:rsidR="007426CE" w:rsidRPr="000D6614" w:rsidRDefault="007426CE" w:rsidP="007426CE">
      <w:pPr>
        <w:rPr>
          <w:rFonts w:cs="Arial"/>
          <w:szCs w:val="24"/>
        </w:rPr>
      </w:pPr>
    </w:p>
    <w:p w14:paraId="414BF9AA" w14:textId="77777777" w:rsidR="007426CE" w:rsidRPr="000D6614" w:rsidRDefault="007426CE" w:rsidP="007426CE">
      <w:pPr>
        <w:rPr>
          <w:rFonts w:cs="Arial"/>
          <w:szCs w:val="24"/>
        </w:rPr>
      </w:pPr>
    </w:p>
    <w:p w14:paraId="1AB5CE72" w14:textId="77777777" w:rsidR="007426CE" w:rsidRPr="000D6614" w:rsidRDefault="007426CE" w:rsidP="007426CE">
      <w:pPr>
        <w:rPr>
          <w:rFonts w:cs="Arial"/>
          <w:szCs w:val="24"/>
        </w:rPr>
      </w:pPr>
    </w:p>
    <w:p w14:paraId="4BBD9D2B" w14:textId="77777777" w:rsidR="007426CE" w:rsidRPr="000D6614" w:rsidRDefault="007426CE" w:rsidP="007426CE">
      <w:pPr>
        <w:rPr>
          <w:rFonts w:cs="Arial"/>
          <w:szCs w:val="24"/>
        </w:rPr>
      </w:pPr>
    </w:p>
    <w:p w14:paraId="44434579" w14:textId="77777777" w:rsidR="007426CE" w:rsidRPr="000D6614" w:rsidRDefault="007426CE" w:rsidP="007426CE">
      <w:pPr>
        <w:rPr>
          <w:rFonts w:cs="Arial"/>
          <w:szCs w:val="24"/>
        </w:rPr>
      </w:pPr>
    </w:p>
    <w:p w14:paraId="63CD1E67" w14:textId="77777777" w:rsidR="007426CE" w:rsidRPr="000D6614" w:rsidRDefault="007426CE" w:rsidP="007426CE">
      <w:pPr>
        <w:rPr>
          <w:rFonts w:cs="Arial"/>
          <w:szCs w:val="24"/>
        </w:rPr>
      </w:pPr>
    </w:p>
    <w:p w14:paraId="4F144164" w14:textId="77777777" w:rsidR="007426CE" w:rsidRPr="000D6614" w:rsidRDefault="007426CE" w:rsidP="007426CE">
      <w:pPr>
        <w:rPr>
          <w:rFonts w:cs="Arial"/>
          <w:szCs w:val="24"/>
        </w:rPr>
      </w:pPr>
    </w:p>
    <w:p w14:paraId="571D695A" w14:textId="77777777" w:rsidR="007426CE" w:rsidRPr="000D6614" w:rsidRDefault="007426CE" w:rsidP="007426CE">
      <w:pPr>
        <w:rPr>
          <w:rFonts w:cs="Arial"/>
          <w:szCs w:val="24"/>
        </w:rPr>
      </w:pPr>
    </w:p>
    <w:p w14:paraId="1E5F7B3D" w14:textId="77777777" w:rsidR="007426CE" w:rsidRPr="000D6614" w:rsidRDefault="007426CE" w:rsidP="007426CE">
      <w:pPr>
        <w:rPr>
          <w:rFonts w:cs="Arial"/>
          <w:szCs w:val="24"/>
        </w:rPr>
      </w:pPr>
    </w:p>
    <w:p w14:paraId="500788F5" w14:textId="77777777" w:rsidR="007426CE" w:rsidRPr="000D6614" w:rsidRDefault="007426CE" w:rsidP="007426CE">
      <w:pPr>
        <w:rPr>
          <w:rFonts w:cs="Arial"/>
          <w:szCs w:val="24"/>
        </w:rPr>
      </w:pPr>
    </w:p>
    <w:p w14:paraId="4C1E08E1" w14:textId="77777777" w:rsidR="007426CE" w:rsidRPr="000D6614" w:rsidRDefault="007426CE" w:rsidP="007426CE">
      <w:pPr>
        <w:rPr>
          <w:rFonts w:cs="Arial"/>
          <w:szCs w:val="24"/>
        </w:rPr>
      </w:pPr>
    </w:p>
    <w:p w14:paraId="37476C77" w14:textId="77777777" w:rsidR="007426CE" w:rsidRPr="000D6614" w:rsidRDefault="007426CE" w:rsidP="007426CE">
      <w:pPr>
        <w:rPr>
          <w:rFonts w:cs="Arial"/>
          <w:szCs w:val="24"/>
        </w:rPr>
      </w:pPr>
    </w:p>
    <w:p w14:paraId="4A18EB12" w14:textId="77777777" w:rsidR="007426CE" w:rsidRPr="000D6614" w:rsidRDefault="007426CE" w:rsidP="007426CE">
      <w:pPr>
        <w:rPr>
          <w:rFonts w:cs="Arial"/>
          <w:szCs w:val="24"/>
        </w:rPr>
      </w:pPr>
    </w:p>
    <w:tbl>
      <w:tblPr>
        <w:tblW w:w="9498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3031"/>
        <w:gridCol w:w="3206"/>
      </w:tblGrid>
      <w:tr w:rsidR="007426CE" w:rsidRPr="000D6614" w14:paraId="1B4ACCAC" w14:textId="77777777" w:rsidTr="005175B9">
        <w:trPr>
          <w:tblHeader/>
        </w:trPr>
        <w:tc>
          <w:tcPr>
            <w:tcW w:w="1276" w:type="dxa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38FEE336" w14:textId="77777777" w:rsidR="007426CE" w:rsidRPr="000D6614" w:rsidRDefault="007426CE" w:rsidP="005175B9">
            <w:r w:rsidRPr="000D6614">
              <w:t>Dátum verzie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255F6802" w14:textId="77777777" w:rsidR="007426CE" w:rsidRPr="000D6614" w:rsidRDefault="007426CE" w:rsidP="005175B9">
            <w:r w:rsidRPr="000D6614">
              <w:t>Vypracoval (zmenil)</w:t>
            </w:r>
          </w:p>
        </w:tc>
        <w:tc>
          <w:tcPr>
            <w:tcW w:w="3031" w:type="dxa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5825E2F3" w14:textId="77777777" w:rsidR="007426CE" w:rsidRPr="000D6614" w:rsidRDefault="007426CE" w:rsidP="005175B9">
            <w:r w:rsidRPr="000D6614">
              <w:t>Popis</w:t>
            </w:r>
          </w:p>
        </w:tc>
        <w:tc>
          <w:tcPr>
            <w:tcW w:w="3206" w:type="dxa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40807665" w14:textId="77777777" w:rsidR="007426CE" w:rsidRPr="000D6614" w:rsidRDefault="007426CE" w:rsidP="005175B9">
            <w:r w:rsidRPr="000D6614">
              <w:t>Identifikátor dokumentu</w:t>
            </w:r>
          </w:p>
        </w:tc>
      </w:tr>
      <w:tr w:rsidR="00723FF5" w:rsidRPr="000D6614" w14:paraId="58ADCB5E" w14:textId="77777777" w:rsidTr="005175B9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A9D01" w14:textId="77777777" w:rsidR="00723FF5" w:rsidRPr="000D6614" w:rsidRDefault="00723FF5" w:rsidP="00723FF5">
            <w:r w:rsidRPr="000D6614">
              <w:t>11.7.2014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603E3" w14:textId="7DD99E8E" w:rsidR="00723FF5" w:rsidRPr="000D6614" w:rsidRDefault="00723FF5" w:rsidP="00723FF5">
            <w:r>
              <w:t>Michal Petro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FCABE" w14:textId="77777777" w:rsidR="00723FF5" w:rsidRPr="000D6614" w:rsidRDefault="00723FF5" w:rsidP="00723FF5">
            <w:r w:rsidRPr="000D6614">
              <w:t>Podklad pre diskusiu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1CC78" w14:textId="4763D6B6" w:rsidR="00723FF5" w:rsidRPr="000D6614" w:rsidRDefault="00723FF5" w:rsidP="00723FF5">
            <w:r>
              <w:rPr>
                <w:rFonts w:ascii="Calibri" w:hAnsi="Calibri"/>
                <w:sz w:val="22"/>
              </w:rPr>
              <w:fldChar w:fldCharType="begin"/>
            </w:r>
            <w:r>
              <w:instrText xml:space="preserve"> FILENAME   \* MERGEFORMAT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FILENAME 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PRO-RPO-generovanie-IPO-20140717-v0.1.docx</w:t>
            </w:r>
            <w:r>
              <w:rPr>
                <w:noProof/>
              </w:rPr>
              <w:fldChar w:fldCharType="end"/>
            </w:r>
          </w:p>
        </w:tc>
      </w:tr>
      <w:tr w:rsidR="00723FF5" w:rsidRPr="000D6614" w14:paraId="5137384B" w14:textId="77777777" w:rsidTr="005175B9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FC2B2" w14:textId="1B11381D" w:rsidR="00723FF5" w:rsidRPr="000D6614" w:rsidRDefault="00723FF5" w:rsidP="00723FF5">
            <w:r>
              <w:t>19</w:t>
            </w:r>
            <w:r w:rsidRPr="000D6614">
              <w:t>.</w:t>
            </w:r>
            <w:r>
              <w:t>8</w:t>
            </w:r>
            <w:r w:rsidRPr="000D6614">
              <w:t>.2014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CEF91" w14:textId="60D1C908" w:rsidR="00723FF5" w:rsidRPr="000D6614" w:rsidRDefault="00723FF5" w:rsidP="00723FF5">
            <w:r>
              <w:t>Michal Petro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F83C4" w14:textId="58382A05" w:rsidR="00723FF5" w:rsidRPr="000D6614" w:rsidRDefault="00723FF5" w:rsidP="00723FF5">
            <w:r>
              <w:t>Aktualizovaná verzia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EB3DF" w14:textId="5A04CE92" w:rsidR="00723FF5" w:rsidRPr="000D6614" w:rsidRDefault="00723FF5" w:rsidP="00723FF5">
            <w:r>
              <w:rPr>
                <w:rFonts w:ascii="Calibri" w:hAnsi="Calibri"/>
                <w:sz w:val="22"/>
              </w:rPr>
              <w:fldChar w:fldCharType="begin"/>
            </w:r>
            <w:r>
              <w:instrText xml:space="preserve"> FILENAME   \* MERGEFORMAT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FILENAME 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PRO-RPO-generovanie-IPO-20140717-v0.2.docx</w:t>
            </w:r>
            <w:r>
              <w:rPr>
                <w:noProof/>
              </w:rPr>
              <w:fldChar w:fldCharType="end"/>
            </w:r>
          </w:p>
        </w:tc>
      </w:tr>
      <w:tr w:rsidR="005C7DFD" w:rsidRPr="000D6614" w14:paraId="412B0F65" w14:textId="77777777" w:rsidTr="005175B9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77D9F" w14:textId="08375642" w:rsidR="005C7DFD" w:rsidRPr="000D6614" w:rsidRDefault="005C7DFD" w:rsidP="005C7DFD">
            <w:r>
              <w:t>26</w:t>
            </w:r>
            <w:r w:rsidRPr="000D6614">
              <w:t>.</w:t>
            </w:r>
            <w:r>
              <w:t>9</w:t>
            </w:r>
            <w:r w:rsidRPr="000D6614">
              <w:t>.2014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B1793" w14:textId="62AEB7FA" w:rsidR="005C7DFD" w:rsidRPr="000D6614" w:rsidRDefault="00723FF5" w:rsidP="005C7DFD">
            <w:r>
              <w:t>Michal Petro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6441EF" w14:textId="44666BF1" w:rsidR="005C7DFD" w:rsidRPr="000D6614" w:rsidRDefault="005C7DFD" w:rsidP="005C7DFD">
            <w:r>
              <w:t>Aktualizovaná verzia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25E5E" w14:textId="077B604B" w:rsidR="005C7DFD" w:rsidRPr="000D6614" w:rsidRDefault="00562B36" w:rsidP="005C7DFD">
            <w:r>
              <w:fldChar w:fldCharType="begin"/>
            </w:r>
            <w:r>
              <w:instrText xml:space="preserve"> FILENAME   \* MERGEFORMAT </w:instrText>
            </w:r>
            <w:r>
              <w:fldChar w:fldCharType="separate"/>
            </w:r>
            <w:r w:rsidR="00723FF5">
              <w:rPr>
                <w:noProof/>
              </w:rPr>
              <w:t>PRO-RPO-generovanie-IPO-20140717-v0.3.docx</w:t>
            </w:r>
            <w:r>
              <w:rPr>
                <w:noProof/>
              </w:rPr>
              <w:fldChar w:fldCharType="end"/>
            </w:r>
          </w:p>
        </w:tc>
      </w:tr>
      <w:tr w:rsidR="00723FF5" w:rsidRPr="000D6614" w14:paraId="22341C76" w14:textId="77777777" w:rsidTr="005175B9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FA67F7" w14:textId="4730CB9C" w:rsidR="00723FF5" w:rsidRPr="000D6614" w:rsidRDefault="00723FF5" w:rsidP="00723FF5">
            <w:r>
              <w:t>29.9.2014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733324" w14:textId="63D4EFC6" w:rsidR="00723FF5" w:rsidRPr="000D6614" w:rsidRDefault="00723FF5" w:rsidP="00723FF5">
            <w:r>
              <w:t>Michal Petro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DBFB3" w14:textId="39923710" w:rsidR="00723FF5" w:rsidRPr="000D6614" w:rsidRDefault="00723FF5" w:rsidP="00723FF5">
            <w:r>
              <w:t>Finálna verzia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3004C7" w14:textId="1A38F591" w:rsidR="00723FF5" w:rsidRPr="000D6614" w:rsidRDefault="00723FF5" w:rsidP="00723FF5">
            <w:r>
              <w:rPr>
                <w:rFonts w:ascii="Calibri" w:hAnsi="Calibri"/>
                <w:sz w:val="22"/>
              </w:rPr>
              <w:fldChar w:fldCharType="begin"/>
            </w:r>
            <w:r>
              <w:instrText xml:space="preserve"> FILENAME   \* MERGEFORMAT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FILENAME 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PRO-RPO-generovanie-IPO-20140717-v1.0.docx</w:t>
            </w:r>
            <w:r>
              <w:rPr>
                <w:noProof/>
              </w:rPr>
              <w:fldChar w:fldCharType="end"/>
            </w:r>
          </w:p>
        </w:tc>
      </w:tr>
    </w:tbl>
    <w:p w14:paraId="17B70400" w14:textId="77777777" w:rsidR="007426CE" w:rsidRPr="000D6614" w:rsidRDefault="007426CE" w:rsidP="007426CE">
      <w:pPr>
        <w:sectPr w:rsidR="007426CE" w:rsidRPr="000D6614" w:rsidSect="007426CE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1673" w:right="1418" w:bottom="1673" w:left="1418" w:header="708" w:footer="708" w:gutter="0"/>
          <w:cols w:space="708"/>
          <w:titlePg/>
          <w:docGrid w:linePitch="326"/>
        </w:sectPr>
      </w:pPr>
      <w:bookmarkStart w:id="0" w:name="_GoBack"/>
      <w:bookmarkEnd w:id="0"/>
    </w:p>
    <w:p w14:paraId="632134F6" w14:textId="77777777" w:rsidR="007426CE" w:rsidRPr="000D6614" w:rsidRDefault="007426CE" w:rsidP="007426CE">
      <w:pPr>
        <w:pStyle w:val="TitleHeading"/>
        <w:spacing w:after="240"/>
        <w:rPr>
          <w:rFonts w:ascii="Arial Narrow" w:hAnsi="Arial Narrow"/>
          <w:sz w:val="32"/>
          <w:szCs w:val="32"/>
          <w:lang w:val="sk-SK"/>
        </w:rPr>
      </w:pPr>
      <w:r w:rsidRPr="000D6614">
        <w:rPr>
          <w:rFonts w:ascii="Arial Narrow" w:hAnsi="Arial Narrow"/>
          <w:sz w:val="32"/>
          <w:szCs w:val="32"/>
          <w:lang w:val="sk-SK"/>
        </w:rPr>
        <w:lastRenderedPageBreak/>
        <w:t>Obsah</w:t>
      </w:r>
    </w:p>
    <w:p w14:paraId="0FFF30D1" w14:textId="77777777" w:rsidR="00004328" w:rsidRDefault="00DF7DDD">
      <w:pPr>
        <w:pStyle w:val="Obsah1"/>
        <w:rPr>
          <w:rFonts w:asciiTheme="minorHAnsi" w:eastAsiaTheme="minorEastAsia" w:hAnsiTheme="minorHAnsi" w:cstheme="minorBidi"/>
          <w:b w:val="0"/>
          <w:noProof/>
          <w:sz w:val="22"/>
          <w:lang w:eastAsia="sk-SK"/>
        </w:rPr>
      </w:pPr>
      <w:r w:rsidRPr="000D6614">
        <w:rPr>
          <w:b w:val="0"/>
        </w:rPr>
        <w:fldChar w:fldCharType="begin"/>
      </w:r>
      <w:r w:rsidR="007426CE" w:rsidRPr="000D6614">
        <w:rPr>
          <w:b w:val="0"/>
        </w:rPr>
        <w:instrText xml:space="preserve"> TOC \o "1-2" \h \z \u </w:instrText>
      </w:r>
      <w:r w:rsidRPr="000D6614">
        <w:rPr>
          <w:b w:val="0"/>
        </w:rPr>
        <w:fldChar w:fldCharType="separate"/>
      </w:r>
      <w:hyperlink w:anchor="_Toc399517887" w:history="1">
        <w:r w:rsidR="00004328" w:rsidRPr="009318BC">
          <w:rPr>
            <w:rStyle w:val="Hypertextovprepojenie"/>
            <w:noProof/>
          </w:rPr>
          <w:t>1</w:t>
        </w:r>
        <w:r w:rsidR="00004328">
          <w:rPr>
            <w:rFonts w:asciiTheme="minorHAnsi" w:eastAsiaTheme="minorEastAsia" w:hAnsiTheme="minorHAnsi" w:cstheme="minorBidi"/>
            <w:b w:val="0"/>
            <w:noProof/>
            <w:sz w:val="22"/>
            <w:lang w:eastAsia="sk-SK"/>
          </w:rPr>
          <w:tab/>
        </w:r>
        <w:r w:rsidR="00004328" w:rsidRPr="009318BC">
          <w:rPr>
            <w:rStyle w:val="Hypertextovprepojenie"/>
            <w:noProof/>
          </w:rPr>
          <w:t>Úvod</w:t>
        </w:r>
        <w:r w:rsidR="00004328">
          <w:rPr>
            <w:noProof/>
            <w:webHidden/>
          </w:rPr>
          <w:tab/>
        </w:r>
        <w:r w:rsidR="00004328">
          <w:rPr>
            <w:noProof/>
            <w:webHidden/>
          </w:rPr>
          <w:fldChar w:fldCharType="begin"/>
        </w:r>
        <w:r w:rsidR="00004328">
          <w:rPr>
            <w:noProof/>
            <w:webHidden/>
          </w:rPr>
          <w:instrText xml:space="preserve"> PAGEREF _Toc399517887 \h </w:instrText>
        </w:r>
        <w:r w:rsidR="00004328">
          <w:rPr>
            <w:noProof/>
            <w:webHidden/>
          </w:rPr>
        </w:r>
        <w:r w:rsidR="00004328">
          <w:rPr>
            <w:noProof/>
            <w:webHidden/>
          </w:rPr>
          <w:fldChar w:fldCharType="separate"/>
        </w:r>
        <w:r w:rsidR="00004328">
          <w:rPr>
            <w:noProof/>
            <w:webHidden/>
          </w:rPr>
          <w:t>4</w:t>
        </w:r>
        <w:r w:rsidR="00004328">
          <w:rPr>
            <w:noProof/>
            <w:webHidden/>
          </w:rPr>
          <w:fldChar w:fldCharType="end"/>
        </w:r>
      </w:hyperlink>
    </w:p>
    <w:p w14:paraId="4C006D62" w14:textId="77777777" w:rsidR="00004328" w:rsidRDefault="00562B36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399517888" w:history="1">
        <w:r w:rsidR="00004328" w:rsidRPr="009318BC">
          <w:rPr>
            <w:rStyle w:val="Hypertextovprepojenie"/>
            <w:noProof/>
          </w:rPr>
          <w:t>1.1</w:t>
        </w:r>
        <w:r w:rsidR="00004328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04328" w:rsidRPr="009318BC">
          <w:rPr>
            <w:rStyle w:val="Hypertextovprepojenie"/>
            <w:noProof/>
          </w:rPr>
          <w:t>Účel dokumentu</w:t>
        </w:r>
        <w:r w:rsidR="00004328">
          <w:rPr>
            <w:noProof/>
            <w:webHidden/>
          </w:rPr>
          <w:tab/>
        </w:r>
        <w:r w:rsidR="00004328">
          <w:rPr>
            <w:noProof/>
            <w:webHidden/>
          </w:rPr>
          <w:fldChar w:fldCharType="begin"/>
        </w:r>
        <w:r w:rsidR="00004328">
          <w:rPr>
            <w:noProof/>
            <w:webHidden/>
          </w:rPr>
          <w:instrText xml:space="preserve"> PAGEREF _Toc399517888 \h </w:instrText>
        </w:r>
        <w:r w:rsidR="00004328">
          <w:rPr>
            <w:noProof/>
            <w:webHidden/>
          </w:rPr>
        </w:r>
        <w:r w:rsidR="00004328">
          <w:rPr>
            <w:noProof/>
            <w:webHidden/>
          </w:rPr>
          <w:fldChar w:fldCharType="separate"/>
        </w:r>
        <w:r w:rsidR="00004328">
          <w:rPr>
            <w:noProof/>
            <w:webHidden/>
          </w:rPr>
          <w:t>4</w:t>
        </w:r>
        <w:r w:rsidR="00004328">
          <w:rPr>
            <w:noProof/>
            <w:webHidden/>
          </w:rPr>
          <w:fldChar w:fldCharType="end"/>
        </w:r>
      </w:hyperlink>
    </w:p>
    <w:p w14:paraId="47712FED" w14:textId="77777777" w:rsidR="00004328" w:rsidRDefault="00562B36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399517889" w:history="1">
        <w:r w:rsidR="00004328" w:rsidRPr="009318BC">
          <w:rPr>
            <w:rStyle w:val="Hypertextovprepojenie"/>
            <w:noProof/>
          </w:rPr>
          <w:t>1.2</w:t>
        </w:r>
        <w:r w:rsidR="00004328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04328" w:rsidRPr="009318BC">
          <w:rPr>
            <w:rStyle w:val="Hypertextovprepojenie"/>
            <w:noProof/>
          </w:rPr>
          <w:t>Zoznam skratiek</w:t>
        </w:r>
        <w:r w:rsidR="00004328">
          <w:rPr>
            <w:noProof/>
            <w:webHidden/>
          </w:rPr>
          <w:tab/>
        </w:r>
        <w:r w:rsidR="00004328">
          <w:rPr>
            <w:noProof/>
            <w:webHidden/>
          </w:rPr>
          <w:fldChar w:fldCharType="begin"/>
        </w:r>
        <w:r w:rsidR="00004328">
          <w:rPr>
            <w:noProof/>
            <w:webHidden/>
          </w:rPr>
          <w:instrText xml:space="preserve"> PAGEREF _Toc399517889 \h </w:instrText>
        </w:r>
        <w:r w:rsidR="00004328">
          <w:rPr>
            <w:noProof/>
            <w:webHidden/>
          </w:rPr>
        </w:r>
        <w:r w:rsidR="00004328">
          <w:rPr>
            <w:noProof/>
            <w:webHidden/>
          </w:rPr>
          <w:fldChar w:fldCharType="separate"/>
        </w:r>
        <w:r w:rsidR="00004328">
          <w:rPr>
            <w:noProof/>
            <w:webHidden/>
          </w:rPr>
          <w:t>4</w:t>
        </w:r>
        <w:r w:rsidR="00004328">
          <w:rPr>
            <w:noProof/>
            <w:webHidden/>
          </w:rPr>
          <w:fldChar w:fldCharType="end"/>
        </w:r>
      </w:hyperlink>
    </w:p>
    <w:p w14:paraId="5C488371" w14:textId="77777777" w:rsidR="00004328" w:rsidRDefault="00562B36">
      <w:pPr>
        <w:pStyle w:val="Obsah1"/>
        <w:rPr>
          <w:rFonts w:asciiTheme="minorHAnsi" w:eastAsiaTheme="minorEastAsia" w:hAnsiTheme="minorHAnsi" w:cstheme="minorBidi"/>
          <w:b w:val="0"/>
          <w:noProof/>
          <w:sz w:val="22"/>
          <w:lang w:eastAsia="sk-SK"/>
        </w:rPr>
      </w:pPr>
      <w:hyperlink w:anchor="_Toc399517890" w:history="1">
        <w:r w:rsidR="00004328" w:rsidRPr="009318BC">
          <w:rPr>
            <w:rStyle w:val="Hypertextovprepojenie"/>
            <w:noProof/>
          </w:rPr>
          <w:t>2</w:t>
        </w:r>
        <w:r w:rsidR="00004328">
          <w:rPr>
            <w:rFonts w:asciiTheme="minorHAnsi" w:eastAsiaTheme="minorEastAsia" w:hAnsiTheme="minorHAnsi" w:cstheme="minorBidi"/>
            <w:b w:val="0"/>
            <w:noProof/>
            <w:sz w:val="22"/>
            <w:lang w:eastAsia="sk-SK"/>
          </w:rPr>
          <w:tab/>
        </w:r>
        <w:r w:rsidR="00004328" w:rsidRPr="009318BC">
          <w:rPr>
            <w:rStyle w:val="Hypertextovprepojenie"/>
            <w:noProof/>
          </w:rPr>
          <w:t>Východisková situácia</w:t>
        </w:r>
        <w:r w:rsidR="00004328">
          <w:rPr>
            <w:noProof/>
            <w:webHidden/>
          </w:rPr>
          <w:tab/>
        </w:r>
        <w:r w:rsidR="00004328">
          <w:rPr>
            <w:noProof/>
            <w:webHidden/>
          </w:rPr>
          <w:fldChar w:fldCharType="begin"/>
        </w:r>
        <w:r w:rsidR="00004328">
          <w:rPr>
            <w:noProof/>
            <w:webHidden/>
          </w:rPr>
          <w:instrText xml:space="preserve"> PAGEREF _Toc399517890 \h </w:instrText>
        </w:r>
        <w:r w:rsidR="00004328">
          <w:rPr>
            <w:noProof/>
            <w:webHidden/>
          </w:rPr>
        </w:r>
        <w:r w:rsidR="00004328">
          <w:rPr>
            <w:noProof/>
            <w:webHidden/>
          </w:rPr>
          <w:fldChar w:fldCharType="separate"/>
        </w:r>
        <w:r w:rsidR="00004328">
          <w:rPr>
            <w:noProof/>
            <w:webHidden/>
          </w:rPr>
          <w:t>5</w:t>
        </w:r>
        <w:r w:rsidR="00004328">
          <w:rPr>
            <w:noProof/>
            <w:webHidden/>
          </w:rPr>
          <w:fldChar w:fldCharType="end"/>
        </w:r>
      </w:hyperlink>
    </w:p>
    <w:p w14:paraId="64E778EA" w14:textId="77777777" w:rsidR="00004328" w:rsidRDefault="00562B36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399517891" w:history="1">
        <w:r w:rsidR="00004328" w:rsidRPr="009318BC">
          <w:rPr>
            <w:rStyle w:val="Hypertextovprepojenie"/>
            <w:noProof/>
          </w:rPr>
          <w:t>2.1</w:t>
        </w:r>
        <w:r w:rsidR="00004328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04328" w:rsidRPr="009318BC">
          <w:rPr>
            <w:rStyle w:val="Hypertextovprepojenie"/>
            <w:noProof/>
          </w:rPr>
          <w:t>Všeobecné vlastnosti identifikátora organizácií a podnikateľov</w:t>
        </w:r>
        <w:r w:rsidR="00004328">
          <w:rPr>
            <w:noProof/>
            <w:webHidden/>
          </w:rPr>
          <w:tab/>
        </w:r>
        <w:r w:rsidR="00004328">
          <w:rPr>
            <w:noProof/>
            <w:webHidden/>
          </w:rPr>
          <w:fldChar w:fldCharType="begin"/>
        </w:r>
        <w:r w:rsidR="00004328">
          <w:rPr>
            <w:noProof/>
            <w:webHidden/>
          </w:rPr>
          <w:instrText xml:space="preserve"> PAGEREF _Toc399517891 \h </w:instrText>
        </w:r>
        <w:r w:rsidR="00004328">
          <w:rPr>
            <w:noProof/>
            <w:webHidden/>
          </w:rPr>
        </w:r>
        <w:r w:rsidR="00004328">
          <w:rPr>
            <w:noProof/>
            <w:webHidden/>
          </w:rPr>
          <w:fldChar w:fldCharType="separate"/>
        </w:r>
        <w:r w:rsidR="00004328">
          <w:rPr>
            <w:noProof/>
            <w:webHidden/>
          </w:rPr>
          <w:t>5</w:t>
        </w:r>
        <w:r w:rsidR="00004328">
          <w:rPr>
            <w:noProof/>
            <w:webHidden/>
          </w:rPr>
          <w:fldChar w:fldCharType="end"/>
        </w:r>
      </w:hyperlink>
    </w:p>
    <w:p w14:paraId="1F16944F" w14:textId="77777777" w:rsidR="00004328" w:rsidRDefault="00562B36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399517892" w:history="1">
        <w:r w:rsidR="00004328" w:rsidRPr="009318BC">
          <w:rPr>
            <w:rStyle w:val="Hypertextovprepojenie"/>
            <w:noProof/>
          </w:rPr>
          <w:t>2.2</w:t>
        </w:r>
        <w:r w:rsidR="00004328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04328" w:rsidRPr="009318BC">
          <w:rPr>
            <w:rStyle w:val="Hypertextovprepojenie"/>
            <w:noProof/>
          </w:rPr>
          <w:t>Problémy identifikácie</w:t>
        </w:r>
        <w:r w:rsidR="00004328">
          <w:rPr>
            <w:noProof/>
            <w:webHidden/>
          </w:rPr>
          <w:tab/>
        </w:r>
        <w:r w:rsidR="00004328">
          <w:rPr>
            <w:noProof/>
            <w:webHidden/>
          </w:rPr>
          <w:fldChar w:fldCharType="begin"/>
        </w:r>
        <w:r w:rsidR="00004328">
          <w:rPr>
            <w:noProof/>
            <w:webHidden/>
          </w:rPr>
          <w:instrText xml:space="preserve"> PAGEREF _Toc399517892 \h </w:instrText>
        </w:r>
        <w:r w:rsidR="00004328">
          <w:rPr>
            <w:noProof/>
            <w:webHidden/>
          </w:rPr>
        </w:r>
        <w:r w:rsidR="00004328">
          <w:rPr>
            <w:noProof/>
            <w:webHidden/>
          </w:rPr>
          <w:fldChar w:fldCharType="separate"/>
        </w:r>
        <w:r w:rsidR="00004328">
          <w:rPr>
            <w:noProof/>
            <w:webHidden/>
          </w:rPr>
          <w:t>7</w:t>
        </w:r>
        <w:r w:rsidR="00004328">
          <w:rPr>
            <w:noProof/>
            <w:webHidden/>
          </w:rPr>
          <w:fldChar w:fldCharType="end"/>
        </w:r>
      </w:hyperlink>
    </w:p>
    <w:p w14:paraId="4044525F" w14:textId="77777777" w:rsidR="00004328" w:rsidRDefault="00562B36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399517893" w:history="1">
        <w:r w:rsidR="00004328" w:rsidRPr="009318BC">
          <w:rPr>
            <w:rStyle w:val="Hypertextovprepojenie"/>
            <w:noProof/>
          </w:rPr>
          <w:t>2.3</w:t>
        </w:r>
        <w:r w:rsidR="00004328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04328" w:rsidRPr="009318BC">
          <w:rPr>
            <w:rStyle w:val="Hypertextovprepojenie"/>
            <w:noProof/>
          </w:rPr>
          <w:t>Požadované vlastnosti IPO</w:t>
        </w:r>
        <w:r w:rsidR="00004328">
          <w:rPr>
            <w:noProof/>
            <w:webHidden/>
          </w:rPr>
          <w:tab/>
        </w:r>
        <w:r w:rsidR="00004328">
          <w:rPr>
            <w:noProof/>
            <w:webHidden/>
          </w:rPr>
          <w:fldChar w:fldCharType="begin"/>
        </w:r>
        <w:r w:rsidR="00004328">
          <w:rPr>
            <w:noProof/>
            <w:webHidden/>
          </w:rPr>
          <w:instrText xml:space="preserve"> PAGEREF _Toc399517893 \h </w:instrText>
        </w:r>
        <w:r w:rsidR="00004328">
          <w:rPr>
            <w:noProof/>
            <w:webHidden/>
          </w:rPr>
        </w:r>
        <w:r w:rsidR="00004328">
          <w:rPr>
            <w:noProof/>
            <w:webHidden/>
          </w:rPr>
          <w:fldChar w:fldCharType="separate"/>
        </w:r>
        <w:r w:rsidR="00004328">
          <w:rPr>
            <w:noProof/>
            <w:webHidden/>
          </w:rPr>
          <w:t>7</w:t>
        </w:r>
        <w:r w:rsidR="00004328">
          <w:rPr>
            <w:noProof/>
            <w:webHidden/>
          </w:rPr>
          <w:fldChar w:fldCharType="end"/>
        </w:r>
      </w:hyperlink>
    </w:p>
    <w:p w14:paraId="1818DEC8" w14:textId="77777777" w:rsidR="00004328" w:rsidRDefault="00562B36">
      <w:pPr>
        <w:pStyle w:val="Obsah1"/>
        <w:rPr>
          <w:rFonts w:asciiTheme="minorHAnsi" w:eastAsiaTheme="minorEastAsia" w:hAnsiTheme="minorHAnsi" w:cstheme="minorBidi"/>
          <w:b w:val="0"/>
          <w:noProof/>
          <w:sz w:val="22"/>
          <w:lang w:eastAsia="sk-SK"/>
        </w:rPr>
      </w:pPr>
      <w:hyperlink w:anchor="_Toc399517894" w:history="1">
        <w:r w:rsidR="00004328" w:rsidRPr="009318BC">
          <w:rPr>
            <w:rStyle w:val="Hypertextovprepojenie"/>
            <w:noProof/>
          </w:rPr>
          <w:t>3</w:t>
        </w:r>
        <w:r w:rsidR="00004328">
          <w:rPr>
            <w:rFonts w:asciiTheme="minorHAnsi" w:eastAsiaTheme="minorEastAsia" w:hAnsiTheme="minorHAnsi" w:cstheme="minorBidi"/>
            <w:b w:val="0"/>
            <w:noProof/>
            <w:sz w:val="22"/>
            <w:lang w:eastAsia="sk-SK"/>
          </w:rPr>
          <w:tab/>
        </w:r>
        <w:r w:rsidR="00004328" w:rsidRPr="009318BC">
          <w:rPr>
            <w:rStyle w:val="Hypertextovprepojenie"/>
            <w:noProof/>
          </w:rPr>
          <w:t>Alternatívy riešenia</w:t>
        </w:r>
        <w:r w:rsidR="00004328">
          <w:rPr>
            <w:noProof/>
            <w:webHidden/>
          </w:rPr>
          <w:tab/>
        </w:r>
        <w:r w:rsidR="00004328">
          <w:rPr>
            <w:noProof/>
            <w:webHidden/>
          </w:rPr>
          <w:fldChar w:fldCharType="begin"/>
        </w:r>
        <w:r w:rsidR="00004328">
          <w:rPr>
            <w:noProof/>
            <w:webHidden/>
          </w:rPr>
          <w:instrText xml:space="preserve"> PAGEREF _Toc399517894 \h </w:instrText>
        </w:r>
        <w:r w:rsidR="00004328">
          <w:rPr>
            <w:noProof/>
            <w:webHidden/>
          </w:rPr>
        </w:r>
        <w:r w:rsidR="00004328">
          <w:rPr>
            <w:noProof/>
            <w:webHidden/>
          </w:rPr>
          <w:fldChar w:fldCharType="separate"/>
        </w:r>
        <w:r w:rsidR="00004328">
          <w:rPr>
            <w:noProof/>
            <w:webHidden/>
          </w:rPr>
          <w:t>9</w:t>
        </w:r>
        <w:r w:rsidR="00004328">
          <w:rPr>
            <w:noProof/>
            <w:webHidden/>
          </w:rPr>
          <w:fldChar w:fldCharType="end"/>
        </w:r>
      </w:hyperlink>
    </w:p>
    <w:p w14:paraId="0D275116" w14:textId="77777777" w:rsidR="00004328" w:rsidRDefault="00562B36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399517895" w:history="1">
        <w:r w:rsidR="00004328" w:rsidRPr="009318BC">
          <w:rPr>
            <w:rStyle w:val="Hypertextovprepojenie"/>
            <w:noProof/>
          </w:rPr>
          <w:t>3.1</w:t>
        </w:r>
        <w:r w:rsidR="00004328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04328" w:rsidRPr="009318BC">
          <w:rPr>
            <w:rStyle w:val="Hypertextovprepojenie"/>
            <w:noProof/>
          </w:rPr>
          <w:t>Spôsob stanovenia hodnoty IPO</w:t>
        </w:r>
        <w:r w:rsidR="00004328">
          <w:rPr>
            <w:noProof/>
            <w:webHidden/>
          </w:rPr>
          <w:tab/>
        </w:r>
        <w:r w:rsidR="00004328">
          <w:rPr>
            <w:noProof/>
            <w:webHidden/>
          </w:rPr>
          <w:fldChar w:fldCharType="begin"/>
        </w:r>
        <w:r w:rsidR="00004328">
          <w:rPr>
            <w:noProof/>
            <w:webHidden/>
          </w:rPr>
          <w:instrText xml:space="preserve"> PAGEREF _Toc399517895 \h </w:instrText>
        </w:r>
        <w:r w:rsidR="00004328">
          <w:rPr>
            <w:noProof/>
            <w:webHidden/>
          </w:rPr>
        </w:r>
        <w:r w:rsidR="00004328">
          <w:rPr>
            <w:noProof/>
            <w:webHidden/>
          </w:rPr>
          <w:fldChar w:fldCharType="separate"/>
        </w:r>
        <w:r w:rsidR="00004328">
          <w:rPr>
            <w:noProof/>
            <w:webHidden/>
          </w:rPr>
          <w:t>9</w:t>
        </w:r>
        <w:r w:rsidR="00004328">
          <w:rPr>
            <w:noProof/>
            <w:webHidden/>
          </w:rPr>
          <w:fldChar w:fldCharType="end"/>
        </w:r>
      </w:hyperlink>
    </w:p>
    <w:p w14:paraId="385E75D6" w14:textId="77777777" w:rsidR="00004328" w:rsidRDefault="00562B36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399517896" w:history="1">
        <w:r w:rsidR="00004328" w:rsidRPr="009318BC">
          <w:rPr>
            <w:rStyle w:val="Hypertextovprepojenie"/>
            <w:noProof/>
          </w:rPr>
          <w:t>3.2</w:t>
        </w:r>
        <w:r w:rsidR="00004328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04328" w:rsidRPr="009318BC">
          <w:rPr>
            <w:rStyle w:val="Hypertextovprepojenie"/>
            <w:noProof/>
          </w:rPr>
          <w:t>Spôsob zavedenia a podpora používania IPO</w:t>
        </w:r>
        <w:r w:rsidR="00004328">
          <w:rPr>
            <w:noProof/>
            <w:webHidden/>
          </w:rPr>
          <w:tab/>
        </w:r>
        <w:r w:rsidR="00004328">
          <w:rPr>
            <w:noProof/>
            <w:webHidden/>
          </w:rPr>
          <w:fldChar w:fldCharType="begin"/>
        </w:r>
        <w:r w:rsidR="00004328">
          <w:rPr>
            <w:noProof/>
            <w:webHidden/>
          </w:rPr>
          <w:instrText xml:space="preserve"> PAGEREF _Toc399517896 \h </w:instrText>
        </w:r>
        <w:r w:rsidR="00004328">
          <w:rPr>
            <w:noProof/>
            <w:webHidden/>
          </w:rPr>
        </w:r>
        <w:r w:rsidR="00004328">
          <w:rPr>
            <w:noProof/>
            <w:webHidden/>
          </w:rPr>
          <w:fldChar w:fldCharType="separate"/>
        </w:r>
        <w:r w:rsidR="00004328">
          <w:rPr>
            <w:noProof/>
            <w:webHidden/>
          </w:rPr>
          <w:t>19</w:t>
        </w:r>
        <w:r w:rsidR="00004328">
          <w:rPr>
            <w:noProof/>
            <w:webHidden/>
          </w:rPr>
          <w:fldChar w:fldCharType="end"/>
        </w:r>
      </w:hyperlink>
    </w:p>
    <w:p w14:paraId="1ADB591A" w14:textId="77777777" w:rsidR="00004328" w:rsidRDefault="00562B36">
      <w:pPr>
        <w:pStyle w:val="Obsah1"/>
        <w:rPr>
          <w:rFonts w:asciiTheme="minorHAnsi" w:eastAsiaTheme="minorEastAsia" w:hAnsiTheme="minorHAnsi" w:cstheme="minorBidi"/>
          <w:b w:val="0"/>
          <w:noProof/>
          <w:sz w:val="22"/>
          <w:lang w:eastAsia="sk-SK"/>
        </w:rPr>
      </w:pPr>
      <w:hyperlink w:anchor="_Toc399517897" w:history="1">
        <w:r w:rsidR="00004328" w:rsidRPr="009318BC">
          <w:rPr>
            <w:rStyle w:val="Hypertextovprepojenie"/>
            <w:noProof/>
          </w:rPr>
          <w:t>4</w:t>
        </w:r>
        <w:r w:rsidR="00004328">
          <w:rPr>
            <w:rFonts w:asciiTheme="minorHAnsi" w:eastAsiaTheme="minorEastAsia" w:hAnsiTheme="minorHAnsi" w:cstheme="minorBidi"/>
            <w:b w:val="0"/>
            <w:noProof/>
            <w:sz w:val="22"/>
            <w:lang w:eastAsia="sk-SK"/>
          </w:rPr>
          <w:tab/>
        </w:r>
        <w:r w:rsidR="00004328" w:rsidRPr="009318BC">
          <w:rPr>
            <w:rStyle w:val="Hypertextovprepojenie"/>
            <w:noProof/>
          </w:rPr>
          <w:t>Výber riešenia</w:t>
        </w:r>
        <w:r w:rsidR="00004328">
          <w:rPr>
            <w:noProof/>
            <w:webHidden/>
          </w:rPr>
          <w:tab/>
        </w:r>
        <w:r w:rsidR="00004328">
          <w:rPr>
            <w:noProof/>
            <w:webHidden/>
          </w:rPr>
          <w:fldChar w:fldCharType="begin"/>
        </w:r>
        <w:r w:rsidR="00004328">
          <w:rPr>
            <w:noProof/>
            <w:webHidden/>
          </w:rPr>
          <w:instrText xml:space="preserve"> PAGEREF _Toc399517897 \h </w:instrText>
        </w:r>
        <w:r w:rsidR="00004328">
          <w:rPr>
            <w:noProof/>
            <w:webHidden/>
          </w:rPr>
        </w:r>
        <w:r w:rsidR="00004328">
          <w:rPr>
            <w:noProof/>
            <w:webHidden/>
          </w:rPr>
          <w:fldChar w:fldCharType="separate"/>
        </w:r>
        <w:r w:rsidR="00004328">
          <w:rPr>
            <w:noProof/>
            <w:webHidden/>
          </w:rPr>
          <w:t>23</w:t>
        </w:r>
        <w:r w:rsidR="00004328">
          <w:rPr>
            <w:noProof/>
            <w:webHidden/>
          </w:rPr>
          <w:fldChar w:fldCharType="end"/>
        </w:r>
      </w:hyperlink>
    </w:p>
    <w:p w14:paraId="6BF6036C" w14:textId="77777777" w:rsidR="00004328" w:rsidRDefault="00562B36">
      <w:pPr>
        <w:pStyle w:val="Obsah1"/>
        <w:rPr>
          <w:rFonts w:asciiTheme="minorHAnsi" w:eastAsiaTheme="minorEastAsia" w:hAnsiTheme="minorHAnsi" w:cstheme="minorBidi"/>
          <w:b w:val="0"/>
          <w:noProof/>
          <w:sz w:val="22"/>
          <w:lang w:eastAsia="sk-SK"/>
        </w:rPr>
      </w:pPr>
      <w:hyperlink w:anchor="_Toc399517898" w:history="1">
        <w:r w:rsidR="00004328" w:rsidRPr="009318BC">
          <w:rPr>
            <w:rStyle w:val="Hypertextovprepojenie"/>
            <w:noProof/>
          </w:rPr>
          <w:t>5</w:t>
        </w:r>
        <w:r w:rsidR="00004328">
          <w:rPr>
            <w:rFonts w:asciiTheme="minorHAnsi" w:eastAsiaTheme="minorEastAsia" w:hAnsiTheme="minorHAnsi" w:cstheme="minorBidi"/>
            <w:b w:val="0"/>
            <w:noProof/>
            <w:sz w:val="22"/>
            <w:lang w:eastAsia="sk-SK"/>
          </w:rPr>
          <w:tab/>
        </w:r>
        <w:r w:rsidR="00004328" w:rsidRPr="009318BC">
          <w:rPr>
            <w:rStyle w:val="Hypertextovprepojenie"/>
            <w:noProof/>
          </w:rPr>
          <w:t>Spôsob prideľovania IPO</w:t>
        </w:r>
        <w:r w:rsidR="00004328">
          <w:rPr>
            <w:noProof/>
            <w:webHidden/>
          </w:rPr>
          <w:tab/>
        </w:r>
        <w:r w:rsidR="00004328">
          <w:rPr>
            <w:noProof/>
            <w:webHidden/>
          </w:rPr>
          <w:fldChar w:fldCharType="begin"/>
        </w:r>
        <w:r w:rsidR="00004328">
          <w:rPr>
            <w:noProof/>
            <w:webHidden/>
          </w:rPr>
          <w:instrText xml:space="preserve"> PAGEREF _Toc399517898 \h </w:instrText>
        </w:r>
        <w:r w:rsidR="00004328">
          <w:rPr>
            <w:noProof/>
            <w:webHidden/>
          </w:rPr>
        </w:r>
        <w:r w:rsidR="00004328">
          <w:rPr>
            <w:noProof/>
            <w:webHidden/>
          </w:rPr>
          <w:fldChar w:fldCharType="separate"/>
        </w:r>
        <w:r w:rsidR="00004328">
          <w:rPr>
            <w:noProof/>
            <w:webHidden/>
          </w:rPr>
          <w:t>25</w:t>
        </w:r>
        <w:r w:rsidR="00004328">
          <w:rPr>
            <w:noProof/>
            <w:webHidden/>
          </w:rPr>
          <w:fldChar w:fldCharType="end"/>
        </w:r>
      </w:hyperlink>
    </w:p>
    <w:p w14:paraId="57EE434A" w14:textId="77777777" w:rsidR="00004328" w:rsidRDefault="00562B36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399517899" w:history="1">
        <w:r w:rsidR="00004328" w:rsidRPr="009318BC">
          <w:rPr>
            <w:rStyle w:val="Hypertextovprepojenie"/>
            <w:noProof/>
          </w:rPr>
          <w:t>5.1</w:t>
        </w:r>
        <w:r w:rsidR="00004328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04328" w:rsidRPr="009318BC">
          <w:rPr>
            <w:rStyle w:val="Hypertextovprepojenie"/>
            <w:noProof/>
          </w:rPr>
          <w:t>Stanovenie IPO</w:t>
        </w:r>
        <w:r w:rsidR="00004328">
          <w:rPr>
            <w:noProof/>
            <w:webHidden/>
          </w:rPr>
          <w:tab/>
        </w:r>
        <w:r w:rsidR="00004328">
          <w:rPr>
            <w:noProof/>
            <w:webHidden/>
          </w:rPr>
          <w:fldChar w:fldCharType="begin"/>
        </w:r>
        <w:r w:rsidR="00004328">
          <w:rPr>
            <w:noProof/>
            <w:webHidden/>
          </w:rPr>
          <w:instrText xml:space="preserve"> PAGEREF _Toc399517899 \h </w:instrText>
        </w:r>
        <w:r w:rsidR="00004328">
          <w:rPr>
            <w:noProof/>
            <w:webHidden/>
          </w:rPr>
        </w:r>
        <w:r w:rsidR="00004328">
          <w:rPr>
            <w:noProof/>
            <w:webHidden/>
          </w:rPr>
          <w:fldChar w:fldCharType="separate"/>
        </w:r>
        <w:r w:rsidR="00004328">
          <w:rPr>
            <w:noProof/>
            <w:webHidden/>
          </w:rPr>
          <w:t>25</w:t>
        </w:r>
        <w:r w:rsidR="00004328">
          <w:rPr>
            <w:noProof/>
            <w:webHidden/>
          </w:rPr>
          <w:fldChar w:fldCharType="end"/>
        </w:r>
      </w:hyperlink>
    </w:p>
    <w:p w14:paraId="6A984DDD" w14:textId="77777777" w:rsidR="00004328" w:rsidRDefault="00562B36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399517900" w:history="1">
        <w:r w:rsidR="00004328" w:rsidRPr="009318BC">
          <w:rPr>
            <w:rStyle w:val="Hypertextovprepojenie"/>
            <w:noProof/>
          </w:rPr>
          <w:t>5.2</w:t>
        </w:r>
        <w:r w:rsidR="00004328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04328" w:rsidRPr="009318BC">
          <w:rPr>
            <w:rStyle w:val="Hypertextovprepojenie"/>
            <w:noProof/>
          </w:rPr>
          <w:t>Ukončenie rezervácie IPO</w:t>
        </w:r>
        <w:r w:rsidR="00004328">
          <w:rPr>
            <w:noProof/>
            <w:webHidden/>
          </w:rPr>
          <w:tab/>
        </w:r>
        <w:r w:rsidR="00004328">
          <w:rPr>
            <w:noProof/>
            <w:webHidden/>
          </w:rPr>
          <w:fldChar w:fldCharType="begin"/>
        </w:r>
        <w:r w:rsidR="00004328">
          <w:rPr>
            <w:noProof/>
            <w:webHidden/>
          </w:rPr>
          <w:instrText xml:space="preserve"> PAGEREF _Toc399517900 \h </w:instrText>
        </w:r>
        <w:r w:rsidR="00004328">
          <w:rPr>
            <w:noProof/>
            <w:webHidden/>
          </w:rPr>
        </w:r>
        <w:r w:rsidR="00004328">
          <w:rPr>
            <w:noProof/>
            <w:webHidden/>
          </w:rPr>
          <w:fldChar w:fldCharType="separate"/>
        </w:r>
        <w:r w:rsidR="00004328">
          <w:rPr>
            <w:noProof/>
            <w:webHidden/>
          </w:rPr>
          <w:t>27</w:t>
        </w:r>
        <w:r w:rsidR="00004328">
          <w:rPr>
            <w:noProof/>
            <w:webHidden/>
          </w:rPr>
          <w:fldChar w:fldCharType="end"/>
        </w:r>
      </w:hyperlink>
    </w:p>
    <w:p w14:paraId="6FF00B46" w14:textId="77777777" w:rsidR="00004328" w:rsidRDefault="00562B36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399517901" w:history="1">
        <w:r w:rsidR="00004328" w:rsidRPr="009318BC">
          <w:rPr>
            <w:rStyle w:val="Hypertextovprepojenie"/>
            <w:noProof/>
          </w:rPr>
          <w:t>5.3</w:t>
        </w:r>
        <w:r w:rsidR="00004328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04328" w:rsidRPr="009318BC">
          <w:rPr>
            <w:rStyle w:val="Hypertextovprepojenie"/>
            <w:noProof/>
          </w:rPr>
          <w:t>Kontrola rezervovaných IPO</w:t>
        </w:r>
        <w:r w:rsidR="00004328">
          <w:rPr>
            <w:noProof/>
            <w:webHidden/>
          </w:rPr>
          <w:tab/>
        </w:r>
        <w:r w:rsidR="00004328">
          <w:rPr>
            <w:noProof/>
            <w:webHidden/>
          </w:rPr>
          <w:fldChar w:fldCharType="begin"/>
        </w:r>
        <w:r w:rsidR="00004328">
          <w:rPr>
            <w:noProof/>
            <w:webHidden/>
          </w:rPr>
          <w:instrText xml:space="preserve"> PAGEREF _Toc399517901 \h </w:instrText>
        </w:r>
        <w:r w:rsidR="00004328">
          <w:rPr>
            <w:noProof/>
            <w:webHidden/>
          </w:rPr>
        </w:r>
        <w:r w:rsidR="00004328">
          <w:rPr>
            <w:noProof/>
            <w:webHidden/>
          </w:rPr>
          <w:fldChar w:fldCharType="separate"/>
        </w:r>
        <w:r w:rsidR="00004328">
          <w:rPr>
            <w:noProof/>
            <w:webHidden/>
          </w:rPr>
          <w:t>28</w:t>
        </w:r>
        <w:r w:rsidR="00004328">
          <w:rPr>
            <w:noProof/>
            <w:webHidden/>
          </w:rPr>
          <w:fldChar w:fldCharType="end"/>
        </w:r>
      </w:hyperlink>
    </w:p>
    <w:p w14:paraId="56002D58" w14:textId="77777777" w:rsidR="007426CE" w:rsidRPr="000D6614" w:rsidRDefault="00DF7DDD" w:rsidP="008B5CAF">
      <w:pPr>
        <w:pStyle w:val="Nadpis1"/>
        <w:ind w:left="431" w:hanging="431"/>
      </w:pPr>
      <w:r w:rsidRPr="000D6614">
        <w:rPr>
          <w:rFonts w:ascii="Arial Narrow" w:hAnsi="Arial Narrow"/>
          <w:b w:val="0"/>
        </w:rPr>
        <w:lastRenderedPageBreak/>
        <w:fldChar w:fldCharType="end"/>
      </w:r>
      <w:bookmarkStart w:id="1" w:name="_Toc399517887"/>
      <w:r w:rsidR="007426CE" w:rsidRPr="000D6614">
        <w:t>Úvod</w:t>
      </w:r>
      <w:bookmarkEnd w:id="1"/>
    </w:p>
    <w:p w14:paraId="5FD866DA" w14:textId="77777777" w:rsidR="007426CE" w:rsidRPr="000D6614" w:rsidRDefault="007426CE" w:rsidP="007426CE">
      <w:pPr>
        <w:pStyle w:val="Nadpis2"/>
        <w:tabs>
          <w:tab w:val="left" w:pos="431"/>
        </w:tabs>
        <w:ind w:left="578" w:hanging="578"/>
      </w:pPr>
      <w:bookmarkStart w:id="2" w:name="_Toc399517888"/>
      <w:r w:rsidRPr="000D6614">
        <w:t>Účel dokumentu</w:t>
      </w:r>
      <w:bookmarkEnd w:id="2"/>
    </w:p>
    <w:p w14:paraId="0BEEA9E4" w14:textId="3B6C7A86" w:rsidR="007426CE" w:rsidRPr="000D6614" w:rsidRDefault="007426CE" w:rsidP="007426CE">
      <w:r w:rsidRPr="000D6614">
        <w:t xml:space="preserve">Tento dokument je súčasťou činností zameraných na </w:t>
      </w:r>
      <w:r w:rsidR="005913D5" w:rsidRPr="000D6614">
        <w:t>analýzu, návrh, implementáciu, otestovanie a nasadenie technického riešenia generátora IPO</w:t>
      </w:r>
      <w:r w:rsidR="00447814">
        <w:t>,</w:t>
      </w:r>
      <w:r w:rsidR="005913D5" w:rsidRPr="000D6614">
        <w:t xml:space="preserve"> </w:t>
      </w:r>
      <w:r w:rsidRPr="000D6614">
        <w:t>ako súčasť projektu Register a identifikátor právnických osôb a podnikateľov.</w:t>
      </w:r>
    </w:p>
    <w:p w14:paraId="5DF84A7F" w14:textId="71CD6CEF" w:rsidR="00342B3B" w:rsidRPr="000D6614" w:rsidRDefault="00342B3B" w:rsidP="007426CE">
      <w:r w:rsidRPr="000D6614">
        <w:t xml:space="preserve">V rámci prípravy zavedenia IPO je </w:t>
      </w:r>
      <w:r w:rsidR="00532750">
        <w:t>potrebné zvážiť</w:t>
      </w:r>
      <w:r w:rsidR="00480CE2">
        <w:t>:</w:t>
      </w:r>
      <w:r w:rsidR="00CF7DB4">
        <w:t xml:space="preserve"> </w:t>
      </w:r>
    </w:p>
    <w:p w14:paraId="194ECC98" w14:textId="0F06DFDC" w:rsidR="00342B3B" w:rsidRPr="000D6614" w:rsidRDefault="00CF7DB4" w:rsidP="003D0558">
      <w:pPr>
        <w:numPr>
          <w:ilvl w:val="0"/>
          <w:numId w:val="5"/>
        </w:numPr>
        <w:ind w:left="709" w:hanging="349"/>
      </w:pPr>
      <w:r>
        <w:t xml:space="preserve">stanovenie </w:t>
      </w:r>
      <w:r w:rsidR="00342B3B" w:rsidRPr="000D6614">
        <w:t>formátu IPO a jeho vzťahu k</w:t>
      </w:r>
      <w:r w:rsidR="00C271DC">
        <w:t> </w:t>
      </w:r>
      <w:r w:rsidR="00342B3B" w:rsidRPr="000D6614">
        <w:t>IČO</w:t>
      </w:r>
      <w:r w:rsidR="00C271DC">
        <w:t xml:space="preserve"> a k osobitnému identifikátoru</w:t>
      </w:r>
      <w:r w:rsidR="00BD1047">
        <w:t xml:space="preserve"> podľa §27 ods. 4 zákona </w:t>
      </w:r>
      <w:r w:rsidR="00626F83">
        <w:t>298</w:t>
      </w:r>
      <w:r w:rsidR="00BD1047">
        <w:t>/201</w:t>
      </w:r>
      <w:r w:rsidR="00626F83">
        <w:t>0</w:t>
      </w:r>
      <w:r w:rsidR="00BD1047">
        <w:t xml:space="preserve"> Z.z.</w:t>
      </w:r>
      <w:r w:rsidR="003D0558">
        <w:t xml:space="preserve"> </w:t>
      </w:r>
      <w:r w:rsidR="003D0558" w:rsidRPr="003D0558">
        <w:t>v znení neskorších predpisov</w:t>
      </w:r>
      <w:r w:rsidR="00342B3B" w:rsidRPr="000D6614">
        <w:t>,</w:t>
      </w:r>
    </w:p>
    <w:p w14:paraId="7F0BB09E" w14:textId="64C0E20C" w:rsidR="00AB70C8" w:rsidRDefault="00342B3B" w:rsidP="00342B3B">
      <w:pPr>
        <w:numPr>
          <w:ilvl w:val="0"/>
          <w:numId w:val="5"/>
        </w:numPr>
        <w:ind w:left="709" w:hanging="349"/>
      </w:pPr>
      <w:r w:rsidRPr="000D6614">
        <w:t>spôsob prideľovania IPO</w:t>
      </w:r>
      <w:r w:rsidR="00CF7DB4">
        <w:t>.</w:t>
      </w:r>
    </w:p>
    <w:p w14:paraId="7E838F96" w14:textId="77777777" w:rsidR="007426CE" w:rsidRPr="000D6614" w:rsidRDefault="007426CE" w:rsidP="007426CE">
      <w:r w:rsidRPr="000D6614">
        <w:t>Dokument obsahuje nasledujúce časti:</w:t>
      </w:r>
    </w:p>
    <w:p w14:paraId="182866CE" w14:textId="77777777" w:rsidR="007426CE" w:rsidRPr="000D6614" w:rsidRDefault="000D6614" w:rsidP="007426CE">
      <w:pPr>
        <w:numPr>
          <w:ilvl w:val="0"/>
          <w:numId w:val="5"/>
        </w:numPr>
        <w:ind w:left="709" w:hanging="349"/>
      </w:pPr>
      <w:r w:rsidRPr="000D6614">
        <w:t>popis</w:t>
      </w:r>
      <w:r w:rsidR="00A34DD2" w:rsidRPr="000D6614">
        <w:t xml:space="preserve"> </w:t>
      </w:r>
      <w:r w:rsidRPr="000D6614">
        <w:t>východiskovej</w:t>
      </w:r>
      <w:r w:rsidR="00A34DD2" w:rsidRPr="000D6614">
        <w:t xml:space="preserve"> situácie</w:t>
      </w:r>
      <w:r w:rsidR="007426CE" w:rsidRPr="000D6614">
        <w:t xml:space="preserve">, </w:t>
      </w:r>
    </w:p>
    <w:p w14:paraId="60FCA34F" w14:textId="6390E4FE" w:rsidR="007426CE" w:rsidRPr="000D6614" w:rsidRDefault="00532750" w:rsidP="007426CE">
      <w:pPr>
        <w:numPr>
          <w:ilvl w:val="0"/>
          <w:numId w:val="5"/>
        </w:numPr>
        <w:ind w:left="709" w:hanging="349"/>
      </w:pPr>
      <w:r>
        <w:t>alternatívy riešenia</w:t>
      </w:r>
      <w:r w:rsidR="007426CE" w:rsidRPr="000D6614">
        <w:t>,</w:t>
      </w:r>
    </w:p>
    <w:p w14:paraId="5711E98F" w14:textId="4725C196" w:rsidR="00A34DD2" w:rsidRPr="000D6614" w:rsidRDefault="00532750" w:rsidP="007426CE">
      <w:pPr>
        <w:numPr>
          <w:ilvl w:val="0"/>
          <w:numId w:val="5"/>
        </w:numPr>
        <w:ind w:left="709" w:hanging="349"/>
      </w:pPr>
      <w:r>
        <w:t>výber riešenia</w:t>
      </w:r>
      <w:r w:rsidR="00A34DD2" w:rsidRPr="000D6614">
        <w:t>,</w:t>
      </w:r>
    </w:p>
    <w:p w14:paraId="653A0750" w14:textId="77777777" w:rsidR="007426CE" w:rsidRPr="000D6614" w:rsidRDefault="00A34DD2" w:rsidP="007426CE">
      <w:pPr>
        <w:numPr>
          <w:ilvl w:val="0"/>
          <w:numId w:val="5"/>
        </w:numPr>
        <w:ind w:left="709" w:hanging="349"/>
      </w:pPr>
      <w:r w:rsidRPr="000D6614">
        <w:t>spôsob prideľovania IPO</w:t>
      </w:r>
      <w:r w:rsidR="007426CE" w:rsidRPr="000D6614">
        <w:t>.</w:t>
      </w:r>
    </w:p>
    <w:p w14:paraId="7E376545" w14:textId="77777777" w:rsidR="007426CE" w:rsidRPr="000D6614" w:rsidRDefault="007426CE" w:rsidP="007426CE">
      <w:pPr>
        <w:pStyle w:val="Nadpis2"/>
        <w:tabs>
          <w:tab w:val="left" w:pos="431"/>
        </w:tabs>
        <w:ind w:left="578" w:hanging="578"/>
      </w:pPr>
      <w:bookmarkStart w:id="3" w:name="_Toc399517889"/>
      <w:r w:rsidRPr="000D6614">
        <w:t>Zoznam skratiek</w:t>
      </w:r>
      <w:bookmarkEnd w:id="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5"/>
        <w:gridCol w:w="6391"/>
      </w:tblGrid>
      <w:tr w:rsidR="00AC7AA3" w:rsidRPr="000D6614" w14:paraId="2B90961C" w14:textId="77777777" w:rsidTr="00AC7AA3">
        <w:tc>
          <w:tcPr>
            <w:tcW w:w="2625" w:type="dxa"/>
            <w:shd w:val="clear" w:color="auto" w:fill="auto"/>
          </w:tcPr>
          <w:p w14:paraId="2E3506C6" w14:textId="77777777" w:rsidR="00AC7AA3" w:rsidRPr="000D6614" w:rsidRDefault="005913D5" w:rsidP="00AC7AA3">
            <w:pPr>
              <w:spacing w:before="0" w:after="0"/>
            </w:pPr>
            <w:r w:rsidRPr="000D6614">
              <w:t>IČO</w:t>
            </w:r>
          </w:p>
        </w:tc>
        <w:tc>
          <w:tcPr>
            <w:tcW w:w="6391" w:type="dxa"/>
            <w:shd w:val="clear" w:color="auto" w:fill="auto"/>
          </w:tcPr>
          <w:p w14:paraId="43519366" w14:textId="77777777" w:rsidR="00AC7AA3" w:rsidRPr="000D6614" w:rsidRDefault="009B3DB6" w:rsidP="00AC7AA3">
            <w:pPr>
              <w:spacing w:before="0" w:after="0"/>
            </w:pPr>
            <w:r w:rsidRPr="000D6614">
              <w:t>Identifikačné číslo</w:t>
            </w:r>
            <w:r w:rsidR="00C271DC">
              <w:t xml:space="preserve"> organizácie</w:t>
            </w:r>
          </w:p>
        </w:tc>
      </w:tr>
      <w:tr w:rsidR="00532750" w:rsidRPr="000D6614" w14:paraId="3D1533D4" w14:textId="77777777" w:rsidTr="00AC7AA3">
        <w:tc>
          <w:tcPr>
            <w:tcW w:w="2625" w:type="dxa"/>
            <w:shd w:val="clear" w:color="auto" w:fill="auto"/>
          </w:tcPr>
          <w:p w14:paraId="3E1590BF" w14:textId="71721093" w:rsidR="00532750" w:rsidRPr="000D6614" w:rsidRDefault="00532750" w:rsidP="00532750">
            <w:pPr>
              <w:spacing w:before="0" w:after="0"/>
            </w:pPr>
            <w:r>
              <w:t>IFO</w:t>
            </w:r>
          </w:p>
        </w:tc>
        <w:tc>
          <w:tcPr>
            <w:tcW w:w="6391" w:type="dxa"/>
            <w:shd w:val="clear" w:color="auto" w:fill="auto"/>
          </w:tcPr>
          <w:p w14:paraId="5C5ED4C3" w14:textId="6288DFD8" w:rsidR="00532750" w:rsidRPr="000D6614" w:rsidRDefault="00532750" w:rsidP="00532750">
            <w:pPr>
              <w:spacing w:before="0" w:after="0"/>
            </w:pPr>
            <w:r w:rsidRPr="000D6614">
              <w:t>I</w:t>
            </w:r>
            <w:r>
              <w:t>dentifikátor fyzickej osoby</w:t>
            </w:r>
          </w:p>
        </w:tc>
      </w:tr>
      <w:tr w:rsidR="00532750" w:rsidRPr="000D6614" w14:paraId="1910E620" w14:textId="77777777" w:rsidTr="00AC7AA3">
        <w:tc>
          <w:tcPr>
            <w:tcW w:w="2625" w:type="dxa"/>
            <w:shd w:val="clear" w:color="auto" w:fill="auto"/>
          </w:tcPr>
          <w:p w14:paraId="64DB72C8" w14:textId="77777777" w:rsidR="00532750" w:rsidRPr="000D6614" w:rsidRDefault="00532750" w:rsidP="00532750">
            <w:pPr>
              <w:spacing w:before="0" w:after="0"/>
            </w:pPr>
            <w:r w:rsidRPr="000D6614">
              <w:t>IPO</w:t>
            </w:r>
          </w:p>
        </w:tc>
        <w:tc>
          <w:tcPr>
            <w:tcW w:w="6391" w:type="dxa"/>
            <w:shd w:val="clear" w:color="auto" w:fill="auto"/>
          </w:tcPr>
          <w:p w14:paraId="51CF4EDA" w14:textId="77777777" w:rsidR="00532750" w:rsidRPr="000D6614" w:rsidRDefault="00532750" w:rsidP="00532750">
            <w:pPr>
              <w:spacing w:before="0" w:after="0"/>
            </w:pPr>
            <w:r w:rsidRPr="000D6614">
              <w:t>Identifikátor právnickej osoby a podnikateľa</w:t>
            </w:r>
          </w:p>
        </w:tc>
      </w:tr>
      <w:tr w:rsidR="00532750" w:rsidRPr="000D6614" w14:paraId="58A4054C" w14:textId="77777777" w:rsidTr="00AC7AA3">
        <w:tc>
          <w:tcPr>
            <w:tcW w:w="2625" w:type="dxa"/>
            <w:shd w:val="clear" w:color="auto" w:fill="auto"/>
          </w:tcPr>
          <w:p w14:paraId="5EEED89B" w14:textId="276C07A2" w:rsidR="00532750" w:rsidRPr="000D6614" w:rsidRDefault="00532750" w:rsidP="00532750">
            <w:pPr>
              <w:spacing w:before="0" w:after="0"/>
            </w:pPr>
            <w:r>
              <w:t>IS</w:t>
            </w:r>
          </w:p>
        </w:tc>
        <w:tc>
          <w:tcPr>
            <w:tcW w:w="6391" w:type="dxa"/>
            <w:shd w:val="clear" w:color="auto" w:fill="auto"/>
          </w:tcPr>
          <w:p w14:paraId="0BF888C8" w14:textId="766D8F37" w:rsidR="00532750" w:rsidRPr="000D6614" w:rsidRDefault="00532750" w:rsidP="00532750">
            <w:pPr>
              <w:spacing w:before="0" w:after="0"/>
            </w:pPr>
            <w:r>
              <w:t>Informačný systém</w:t>
            </w:r>
          </w:p>
        </w:tc>
      </w:tr>
      <w:tr w:rsidR="00532750" w:rsidRPr="000D6614" w14:paraId="5B29E8C9" w14:textId="77777777" w:rsidTr="00AC7AA3">
        <w:tc>
          <w:tcPr>
            <w:tcW w:w="2625" w:type="dxa"/>
            <w:shd w:val="clear" w:color="auto" w:fill="auto"/>
          </w:tcPr>
          <w:p w14:paraId="385926CD" w14:textId="77777777" w:rsidR="00532750" w:rsidRPr="000D6614" w:rsidRDefault="00532750" w:rsidP="00532750">
            <w:pPr>
              <w:spacing w:before="0" w:after="0"/>
            </w:pPr>
            <w:r w:rsidRPr="000D6614">
              <w:t>IVS</w:t>
            </w:r>
          </w:p>
        </w:tc>
        <w:tc>
          <w:tcPr>
            <w:tcW w:w="6391" w:type="dxa"/>
            <w:shd w:val="clear" w:color="auto" w:fill="auto"/>
          </w:tcPr>
          <w:p w14:paraId="4F3263C2" w14:textId="77777777" w:rsidR="00532750" w:rsidRPr="000D6614" w:rsidRDefault="00532750" w:rsidP="00532750">
            <w:pPr>
              <w:spacing w:before="0" w:after="0"/>
            </w:pPr>
            <w:r w:rsidRPr="000D6614">
              <w:t>Inštitúcia verejnej správy</w:t>
            </w:r>
          </w:p>
        </w:tc>
      </w:tr>
      <w:tr w:rsidR="00532750" w:rsidRPr="000D6614" w14:paraId="701BD322" w14:textId="77777777" w:rsidTr="00AC7AA3">
        <w:tc>
          <w:tcPr>
            <w:tcW w:w="2625" w:type="dxa"/>
            <w:shd w:val="clear" w:color="auto" w:fill="auto"/>
          </w:tcPr>
          <w:p w14:paraId="71D442A7" w14:textId="77777777" w:rsidR="00532750" w:rsidRPr="000D6614" w:rsidRDefault="00532750" w:rsidP="00532750">
            <w:pPr>
              <w:spacing w:before="0" w:after="0"/>
            </w:pPr>
            <w:r w:rsidRPr="000D6614">
              <w:t>RPO</w:t>
            </w:r>
          </w:p>
        </w:tc>
        <w:tc>
          <w:tcPr>
            <w:tcW w:w="6391" w:type="dxa"/>
            <w:shd w:val="clear" w:color="auto" w:fill="auto"/>
          </w:tcPr>
          <w:p w14:paraId="770E067D" w14:textId="77777777" w:rsidR="00532750" w:rsidRPr="000D6614" w:rsidRDefault="00532750" w:rsidP="00532750">
            <w:pPr>
              <w:spacing w:before="0" w:after="0"/>
            </w:pPr>
            <w:r w:rsidRPr="000D6614">
              <w:t>Register právnických osôb a podnikateľov</w:t>
            </w:r>
          </w:p>
        </w:tc>
      </w:tr>
      <w:tr w:rsidR="00532750" w:rsidRPr="000D6614" w14:paraId="4E7DC0AC" w14:textId="77777777" w:rsidTr="00AC7AA3">
        <w:tc>
          <w:tcPr>
            <w:tcW w:w="2625" w:type="dxa"/>
            <w:shd w:val="clear" w:color="auto" w:fill="auto"/>
          </w:tcPr>
          <w:p w14:paraId="767FA494" w14:textId="77777777" w:rsidR="00532750" w:rsidRPr="000D6614" w:rsidRDefault="00532750" w:rsidP="00532750">
            <w:pPr>
              <w:spacing w:before="0" w:after="0"/>
            </w:pPr>
            <w:r w:rsidRPr="000D6614">
              <w:t>SR</w:t>
            </w:r>
          </w:p>
        </w:tc>
        <w:tc>
          <w:tcPr>
            <w:tcW w:w="6391" w:type="dxa"/>
            <w:shd w:val="clear" w:color="auto" w:fill="auto"/>
          </w:tcPr>
          <w:p w14:paraId="19D9AAE5" w14:textId="77777777" w:rsidR="00532750" w:rsidRPr="000D6614" w:rsidRDefault="00532750" w:rsidP="00532750">
            <w:pPr>
              <w:spacing w:before="0" w:after="0"/>
            </w:pPr>
            <w:r w:rsidRPr="000D6614">
              <w:t>Slovenská republika</w:t>
            </w:r>
          </w:p>
        </w:tc>
      </w:tr>
      <w:tr w:rsidR="00532750" w:rsidRPr="000D6614" w14:paraId="5CEFA4B8" w14:textId="77777777" w:rsidTr="00AC7AA3">
        <w:tc>
          <w:tcPr>
            <w:tcW w:w="2625" w:type="dxa"/>
            <w:shd w:val="clear" w:color="auto" w:fill="auto"/>
          </w:tcPr>
          <w:p w14:paraId="49556A24" w14:textId="77777777" w:rsidR="00532750" w:rsidRPr="000D6614" w:rsidRDefault="00532750" w:rsidP="00532750">
            <w:pPr>
              <w:tabs>
                <w:tab w:val="left" w:pos="1155"/>
              </w:tabs>
              <w:spacing w:before="0" w:after="0"/>
            </w:pPr>
            <w:r w:rsidRPr="000D6614">
              <w:t>ŠÚSR</w:t>
            </w:r>
            <w:r w:rsidRPr="000D6614">
              <w:tab/>
            </w:r>
          </w:p>
        </w:tc>
        <w:tc>
          <w:tcPr>
            <w:tcW w:w="6391" w:type="dxa"/>
            <w:shd w:val="clear" w:color="auto" w:fill="auto"/>
          </w:tcPr>
          <w:p w14:paraId="6CD5B0E1" w14:textId="77777777" w:rsidR="00532750" w:rsidRPr="000D6614" w:rsidRDefault="00532750" w:rsidP="00FE6D77">
            <w:pPr>
              <w:keepNext/>
              <w:spacing w:before="0" w:after="0"/>
            </w:pPr>
            <w:r w:rsidRPr="000D6614">
              <w:t>Štatistický úrad Slovenskej republiky</w:t>
            </w:r>
          </w:p>
        </w:tc>
      </w:tr>
    </w:tbl>
    <w:p w14:paraId="11027551" w14:textId="1568BCAF" w:rsidR="00FE6D77" w:rsidRDefault="00FE6D77">
      <w:pPr>
        <w:pStyle w:val="Popis"/>
      </w:pPr>
      <w:r>
        <w:t xml:space="preserve">Tabuľka </w:t>
      </w:r>
      <w:r w:rsidR="00562B36">
        <w:fldChar w:fldCharType="begin"/>
      </w:r>
      <w:r w:rsidR="00562B36">
        <w:instrText xml:space="preserve"> SEQ Tabuľka \* ARABIC </w:instrText>
      </w:r>
      <w:r w:rsidR="00562B36">
        <w:fldChar w:fldCharType="separate"/>
      </w:r>
      <w:r w:rsidR="00004328">
        <w:rPr>
          <w:noProof/>
        </w:rPr>
        <w:t>1</w:t>
      </w:r>
      <w:r w:rsidR="00562B36">
        <w:rPr>
          <w:noProof/>
        </w:rPr>
        <w:fldChar w:fldCharType="end"/>
      </w:r>
      <w:r>
        <w:t>: Zoznam skratiek</w:t>
      </w:r>
    </w:p>
    <w:p w14:paraId="708EFFC8" w14:textId="77777777" w:rsidR="007426CE" w:rsidRPr="000D6614" w:rsidRDefault="005614A9" w:rsidP="00ED444F">
      <w:pPr>
        <w:pStyle w:val="Nadpis1"/>
        <w:ind w:left="431" w:hanging="431"/>
      </w:pPr>
      <w:bookmarkStart w:id="4" w:name="_Toc399517890"/>
      <w:r w:rsidRPr="000D6614">
        <w:lastRenderedPageBreak/>
        <w:t>Východisková situácia</w:t>
      </w:r>
      <w:bookmarkEnd w:id="4"/>
    </w:p>
    <w:p w14:paraId="38F78CCC" w14:textId="46EBC32C" w:rsidR="005614A9" w:rsidRPr="000D6614" w:rsidRDefault="005614A9" w:rsidP="00ED444F">
      <w:pPr>
        <w:pStyle w:val="Nadpis2"/>
        <w:tabs>
          <w:tab w:val="left" w:pos="431"/>
        </w:tabs>
        <w:ind w:left="578" w:hanging="578"/>
      </w:pPr>
      <w:bookmarkStart w:id="5" w:name="_Toc399517891"/>
      <w:r w:rsidRPr="000D6614">
        <w:t>Všeobecné vlastnosti</w:t>
      </w:r>
      <w:r w:rsidR="008C29CF">
        <w:t xml:space="preserve"> identifikátora organizácií a podnikateľov</w:t>
      </w:r>
      <w:bookmarkEnd w:id="5"/>
    </w:p>
    <w:p w14:paraId="0BE152BE" w14:textId="79D35EBB" w:rsidR="009B3DB6" w:rsidRDefault="009B3DB6" w:rsidP="007426CE">
      <w:r w:rsidRPr="000D6614">
        <w:t xml:space="preserve">Jednoznačná identifikácia právnickej osoby a podnikateľa je realizovaná prostredníctvom IČO podľa §27 zákona </w:t>
      </w:r>
      <w:r w:rsidR="008C29CF">
        <w:t>298</w:t>
      </w:r>
      <w:r w:rsidRPr="000D6614">
        <w:t>/201</w:t>
      </w:r>
      <w:r w:rsidR="008C29CF">
        <w:t>0</w:t>
      </w:r>
      <w:r w:rsidRPr="000D6614">
        <w:t xml:space="preserve"> Z.z. o štátnej štatistike</w:t>
      </w:r>
      <w:r w:rsidR="00362525">
        <w:t xml:space="preserve"> v znení neskorších predpisov</w:t>
      </w:r>
      <w:r w:rsidRPr="000D6614">
        <w:t>. Spôsob tvorby</w:t>
      </w:r>
      <w:r w:rsidR="0012580E">
        <w:t xml:space="preserve"> IČO</w:t>
      </w:r>
      <w:r w:rsidRPr="000D6614">
        <w:t xml:space="preserve"> určuje ŠÚSR.</w:t>
      </w:r>
    </w:p>
    <w:p w14:paraId="745D3D75" w14:textId="280793C5" w:rsidR="00C271DC" w:rsidRDefault="00C271DC" w:rsidP="00C271DC">
      <w:r>
        <w:t>Jednoznačná identifikácia závodov, organizačných jednotiek</w:t>
      </w:r>
      <w:r w:rsidR="00BD1047">
        <w:t>, orgánov verejnej moci</w:t>
      </w:r>
      <w:r>
        <w:t xml:space="preserve"> a ostatných osôb bez právnej subjektivity  je realizovaná prostredníctvom osobitného identifikátora </w:t>
      </w:r>
      <w:r w:rsidRPr="000D6614">
        <w:t xml:space="preserve">podľa </w:t>
      </w:r>
      <w:r>
        <w:t xml:space="preserve">ods. 4 </w:t>
      </w:r>
      <w:r w:rsidRPr="000D6614">
        <w:t xml:space="preserve">§27 zákona </w:t>
      </w:r>
      <w:r w:rsidR="008C29CF">
        <w:t>298</w:t>
      </w:r>
      <w:r w:rsidRPr="000D6614">
        <w:t>/201</w:t>
      </w:r>
      <w:r w:rsidR="008C29CF">
        <w:t>0</w:t>
      </w:r>
      <w:r w:rsidRPr="000D6614">
        <w:t xml:space="preserve"> Z.z. o štátnej štatistike</w:t>
      </w:r>
      <w:r>
        <w:t xml:space="preserve"> v znení neskorších predpisov</w:t>
      </w:r>
      <w:r w:rsidRPr="000D6614">
        <w:t>. Spôsob tvorby</w:t>
      </w:r>
      <w:r>
        <w:t xml:space="preserve"> osobitného identifikátora </w:t>
      </w:r>
      <w:r w:rsidRPr="000D6614">
        <w:t>určuje ŠÚSR.</w:t>
      </w:r>
    </w:p>
    <w:p w14:paraId="5E2FF453" w14:textId="77777777" w:rsidR="00F8103A" w:rsidRDefault="00F8103A" w:rsidP="007426CE">
      <w:r>
        <w:t xml:space="preserve">Každé IČO môže byť pridelené len jednej právnickej osobe alebo podnikateľovi. IČO, ktoré bolo pridelené nejakej právnickej osobe alebo podnikateľovi, sa nesmie prideliť inej právnickej osobe alebo podnikateľovi a to ani v prípade zániku právnickej osoby alebo podnikateľa, ktorej bolo príslušné ICO pridelené. </w:t>
      </w:r>
    </w:p>
    <w:p w14:paraId="70BD01EB" w14:textId="77777777" w:rsidR="00F8103A" w:rsidRDefault="00F8103A" w:rsidP="007426CE">
      <w:r>
        <w:t xml:space="preserve">Právnickej osobe alebo podnikateľovi je pridelené len jedno IČO. V prípade rozšírenia podnikateľských činností </w:t>
      </w:r>
      <w:r w:rsidR="00DF2D94">
        <w:t xml:space="preserve">(nová činnosť) </w:t>
      </w:r>
      <w:r>
        <w:t>právnickej osoby alebo podnikateľa je tento povinný používať IČO, ktoré mu už bolo pridelené.</w:t>
      </w:r>
    </w:p>
    <w:p w14:paraId="1DFF988C" w14:textId="77777777" w:rsidR="009B2E6E" w:rsidRPr="000D6614" w:rsidRDefault="009B2E6E" w:rsidP="00ED444F">
      <w:pPr>
        <w:pStyle w:val="Nadpis3"/>
      </w:pPr>
      <w:r w:rsidRPr="008C29CF">
        <w:t>Formát</w:t>
      </w:r>
      <w:r>
        <w:t xml:space="preserve"> IČO</w:t>
      </w:r>
    </w:p>
    <w:p w14:paraId="718BF638" w14:textId="4A2BDF66" w:rsidR="000C0B92" w:rsidRDefault="00804E96" w:rsidP="00804E96">
      <w:r w:rsidRPr="00A95DA6">
        <w:t>IČO má formu 8 miestneho celočíselného kódu.</w:t>
      </w:r>
      <w:r w:rsidRPr="000D6614">
        <w:t xml:space="preserve"> Každý zápis právnickej osoby alebo podnikateľa je označený samostatným </w:t>
      </w:r>
      <w:r w:rsidR="000C0B92">
        <w:t xml:space="preserve">7 miestnym </w:t>
      </w:r>
      <w:r w:rsidRPr="000D6614">
        <w:t>číslom</w:t>
      </w:r>
      <w:r w:rsidR="000C0B92">
        <w:t xml:space="preserve"> a </w:t>
      </w:r>
      <w:r w:rsidRPr="000D6614">
        <w:t xml:space="preserve">na ôsmom mieste je kontrolné číslo, ktoré slúži na kontrolu správnosti zápisu čísla. </w:t>
      </w:r>
      <w:r w:rsidR="000C0B92">
        <w:t>Spôsob stanovenia kontrolného čísla je nasledovný:</w:t>
      </w:r>
    </w:p>
    <w:p w14:paraId="2171A780" w14:textId="77777777" w:rsidR="000C0B92" w:rsidRDefault="000C0B92" w:rsidP="000C0B92">
      <w:pPr>
        <w:numPr>
          <w:ilvl w:val="0"/>
          <w:numId w:val="5"/>
        </w:numPr>
        <w:ind w:left="709" w:hanging="349"/>
      </w:pPr>
      <w:r w:rsidRPr="000C0B92">
        <w:t>prv</w:t>
      </w:r>
      <w:r>
        <w:t>á</w:t>
      </w:r>
      <w:r w:rsidRPr="000C0B92">
        <w:t xml:space="preserve"> až s</w:t>
      </w:r>
      <w:r>
        <w:t>i</w:t>
      </w:r>
      <w:r w:rsidRPr="000C0B92">
        <w:t>edm</w:t>
      </w:r>
      <w:r>
        <w:t>a</w:t>
      </w:r>
      <w:r w:rsidRPr="000C0B92">
        <w:t xml:space="preserve"> číslic</w:t>
      </w:r>
      <w:r>
        <w:t>a sa</w:t>
      </w:r>
      <w:r w:rsidRPr="000C0B92">
        <w:t xml:space="preserve"> vynásobí čísl</w:t>
      </w:r>
      <w:r>
        <w:t>ami</w:t>
      </w:r>
      <w:r w:rsidRPr="000C0B92">
        <w:t xml:space="preserve"> 8, 7, 6, 5, 4, 3, 2</w:t>
      </w:r>
      <w:r>
        <w:t>,</w:t>
      </w:r>
    </w:p>
    <w:p w14:paraId="2033955F" w14:textId="10262A9E" w:rsidR="000C0B92" w:rsidRDefault="000C0B92" w:rsidP="000C0B92">
      <w:pPr>
        <w:numPr>
          <w:ilvl w:val="0"/>
          <w:numId w:val="5"/>
        </w:numPr>
        <w:ind w:left="709" w:hanging="349"/>
      </w:pPr>
      <w:r>
        <w:t xml:space="preserve">jednotlivé súčiny sa </w:t>
      </w:r>
      <w:r w:rsidR="00BB4059">
        <w:t>s</w:t>
      </w:r>
      <w:r>
        <w:t xml:space="preserve">počítajú, </w:t>
      </w:r>
    </w:p>
    <w:p w14:paraId="75F61601" w14:textId="77777777" w:rsidR="000C0B92" w:rsidRDefault="000C0B92" w:rsidP="000C0B92">
      <w:pPr>
        <w:numPr>
          <w:ilvl w:val="0"/>
          <w:numId w:val="5"/>
        </w:numPr>
        <w:ind w:left="709" w:hanging="349"/>
      </w:pPr>
      <w:r>
        <w:t>vypočíta sa zvyšok po delení získaného súčtu číslom 11,</w:t>
      </w:r>
    </w:p>
    <w:p w14:paraId="7CB722EA" w14:textId="77777777" w:rsidR="000C0B92" w:rsidRDefault="000C0B92" w:rsidP="000C0B92">
      <w:pPr>
        <w:numPr>
          <w:ilvl w:val="0"/>
          <w:numId w:val="5"/>
        </w:numPr>
        <w:ind w:left="709" w:hanging="349"/>
      </w:pPr>
      <w:r>
        <w:t>podľa vypočítaného zvyšku pre kontrolné číslo platí</w:t>
      </w:r>
    </w:p>
    <w:p w14:paraId="18C36345" w14:textId="77777777" w:rsidR="000C0B92" w:rsidRDefault="000C0B92" w:rsidP="000C0B92">
      <w:pPr>
        <w:numPr>
          <w:ilvl w:val="1"/>
          <w:numId w:val="5"/>
        </w:numPr>
      </w:pPr>
      <w:r>
        <w:t>ak je zvyšok 0 potom je kontrolné číslo 1,</w:t>
      </w:r>
    </w:p>
    <w:p w14:paraId="1AC41613" w14:textId="4FFDE239" w:rsidR="000C0B92" w:rsidRDefault="000C0B92" w:rsidP="000C0B92">
      <w:pPr>
        <w:numPr>
          <w:ilvl w:val="1"/>
          <w:numId w:val="5"/>
        </w:numPr>
      </w:pPr>
      <w:r>
        <w:t>ak je zvyšok 1potom je kontrolné číslo 0,</w:t>
      </w:r>
    </w:p>
    <w:p w14:paraId="6F8F9FBB" w14:textId="77777777" w:rsidR="000C0B92" w:rsidRDefault="000C0B92" w:rsidP="000C0B92">
      <w:pPr>
        <w:numPr>
          <w:ilvl w:val="1"/>
          <w:numId w:val="5"/>
        </w:numPr>
      </w:pPr>
      <w:r>
        <w:t>v ostatných prípadoch je kontrolné číslo rovné rozdielu čísla 11 a zvyšku.</w:t>
      </w:r>
    </w:p>
    <w:p w14:paraId="73EFB80D" w14:textId="77777777" w:rsidR="00804E96" w:rsidRDefault="004337CB" w:rsidP="00804E96">
      <w:r>
        <w:t xml:space="preserve">Aby bola dosiahnutá stanovená dĺžka IČO (8 číslic), v prípade potreby je doplnené </w:t>
      </w:r>
      <w:r w:rsidR="00804E96" w:rsidRPr="000D6614">
        <w:t xml:space="preserve">zľava </w:t>
      </w:r>
      <w:r>
        <w:t xml:space="preserve">príslušným počtom číslic </w:t>
      </w:r>
      <w:r w:rsidR="00804E96" w:rsidRPr="000D6614">
        <w:t>nul</w:t>
      </w:r>
      <w:r>
        <w:t xml:space="preserve">a. </w:t>
      </w:r>
    </w:p>
    <w:p w14:paraId="10FB980E" w14:textId="1F0510ED" w:rsidR="005548E2" w:rsidRPr="000D6614" w:rsidRDefault="005548E2" w:rsidP="00ED444F">
      <w:pPr>
        <w:pStyle w:val="Nadpis3"/>
      </w:pPr>
      <w:r>
        <w:lastRenderedPageBreak/>
        <w:t>Formát osobitného identifikátora</w:t>
      </w:r>
    </w:p>
    <w:p w14:paraId="4E74B2F3" w14:textId="733E1A8D" w:rsidR="00804E96" w:rsidRDefault="00804E96" w:rsidP="00DF2D94">
      <w:r w:rsidRPr="00FB74D9">
        <w:t>V prípade</w:t>
      </w:r>
      <w:r w:rsidR="00AB70C8" w:rsidRPr="00FB74D9">
        <w:t>,</w:t>
      </w:r>
      <w:r w:rsidRPr="00FB74D9">
        <w:t xml:space="preserve"> ak má </w:t>
      </w:r>
      <w:r w:rsidR="00362525" w:rsidRPr="00FB74D9">
        <w:t xml:space="preserve">právnická osoba alebo fyzická osoba – podnikateľ </w:t>
      </w:r>
      <w:r w:rsidRPr="00FB74D9">
        <w:t xml:space="preserve">odštepný závod, alebo inú vnútornú organizačnú jednotku s odvodenou právnou subjektivitou, je </w:t>
      </w:r>
      <w:r w:rsidR="008775BE" w:rsidRPr="00FB74D9">
        <w:t>osobitný identifikátor</w:t>
      </w:r>
      <w:r w:rsidR="00DF2D94" w:rsidRPr="00FB74D9">
        <w:t xml:space="preserve"> odštepného závodu alebo vnútornej organizačnej jednotky vytvoren</w:t>
      </w:r>
      <w:r w:rsidR="008775BE" w:rsidRPr="00FB74D9">
        <w:t>ý</w:t>
      </w:r>
      <w:r w:rsidR="00DF2D94" w:rsidRPr="00FB74D9">
        <w:t xml:space="preserve"> z IČO právnickej osoby, ktorej je odštepný závod alebo vnútorná organizačná jednotka súčasťou a</w:t>
      </w:r>
      <w:r w:rsidR="00FB74D9" w:rsidRPr="00FB74D9">
        <w:t xml:space="preserve"> 4 miestneho </w:t>
      </w:r>
      <w:r w:rsidR="00DF2D94" w:rsidRPr="00FB74D9">
        <w:t xml:space="preserve">čísla (rozšírenie IČO). </w:t>
      </w:r>
    </w:p>
    <w:p w14:paraId="1CD5D721" w14:textId="77777777" w:rsidR="00E3574E" w:rsidRDefault="00E3574E" w:rsidP="00DF2D94"/>
    <w:p w14:paraId="4D06FD05" w14:textId="1422469F" w:rsidR="00E3574E" w:rsidRDefault="002116ED" w:rsidP="00DF2D94">
      <w:r>
        <w:t>Zloženie používaných identifikátorov je teda nasledovné: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843"/>
        <w:gridCol w:w="1843"/>
        <w:gridCol w:w="836"/>
      </w:tblGrid>
      <w:tr w:rsidR="002116ED" w14:paraId="1CE6E11B" w14:textId="77777777" w:rsidTr="002116E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AA76914" w14:textId="77777777" w:rsidR="00E3574E" w:rsidRDefault="00E3574E" w:rsidP="00E3574E">
            <w:pPr>
              <w:spacing w:before="0" w:after="0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76F8B5" w14:textId="77777777" w:rsidR="00E3574E" w:rsidRDefault="00E3574E" w:rsidP="00E3574E">
            <w:pPr>
              <w:spacing w:before="0" w:after="0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302CCB" w14:textId="77777777" w:rsidR="00E3574E" w:rsidRDefault="00E3574E" w:rsidP="00E3574E">
            <w:pPr>
              <w:spacing w:before="0" w:after="0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1333718" w14:textId="77777777" w:rsidR="00E3574E" w:rsidRDefault="00E3574E" w:rsidP="00E3574E">
            <w:pPr>
              <w:spacing w:before="0" w:after="0"/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54D57B45" w14:textId="34FAF916" w:rsidR="002116ED" w:rsidRDefault="002116ED" w:rsidP="00E3574E">
            <w:pPr>
              <w:spacing w:before="0" w:after="0"/>
            </w:pPr>
          </w:p>
        </w:tc>
      </w:tr>
      <w:tr w:rsidR="00E3574E" w14:paraId="791F685F" w14:textId="77777777" w:rsidTr="002116ED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8F4CD2" w14:textId="77777777" w:rsidR="00E3574E" w:rsidRPr="002116ED" w:rsidRDefault="00E3574E" w:rsidP="00E3574E">
            <w:pPr>
              <w:spacing w:before="0" w:after="0"/>
              <w:rPr>
                <w:sz w:val="20"/>
              </w:rPr>
            </w:pPr>
            <w:r w:rsidRPr="002116ED">
              <w:rPr>
                <w:sz w:val="20"/>
              </w:rPr>
              <w:t>Názov identifikátora</w:t>
            </w:r>
            <w:r w:rsidR="00B55DA3" w:rsidRPr="002116ED">
              <w:rPr>
                <w:sz w:val="20"/>
              </w:rPr>
              <w:t>:</w:t>
            </w:r>
          </w:p>
          <w:p w14:paraId="605696E2" w14:textId="6AE9316B" w:rsidR="002116ED" w:rsidRPr="002116ED" w:rsidRDefault="002116ED" w:rsidP="00E3574E">
            <w:pPr>
              <w:spacing w:before="0" w:after="0"/>
              <w:rPr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699DE60" w14:textId="67836FC2" w:rsidR="00E3574E" w:rsidRPr="002116ED" w:rsidRDefault="00E3574E" w:rsidP="00E3574E">
            <w:pPr>
              <w:spacing w:before="0" w:after="0"/>
              <w:rPr>
                <w:sz w:val="20"/>
              </w:rPr>
            </w:pPr>
            <w:r w:rsidRPr="002116ED">
              <w:rPr>
                <w:sz w:val="20"/>
              </w:rPr>
              <w:t>IČO</w:t>
            </w:r>
          </w:p>
        </w:tc>
        <w:tc>
          <w:tcPr>
            <w:tcW w:w="1843" w:type="dxa"/>
            <w:tcBorders>
              <w:top w:val="nil"/>
              <w:bottom w:val="single" w:sz="4" w:space="0" w:color="000000"/>
              <w:right w:val="nil"/>
            </w:tcBorders>
          </w:tcPr>
          <w:p w14:paraId="37F4E902" w14:textId="77777777" w:rsidR="00E3574E" w:rsidRDefault="00E3574E" w:rsidP="00E3574E">
            <w:pPr>
              <w:spacing w:before="0" w:after="0"/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499BCD4A" w14:textId="55CF405B" w:rsidR="00E3574E" w:rsidRDefault="00E3574E" w:rsidP="00E3574E">
            <w:pPr>
              <w:spacing w:before="0" w:after="0"/>
            </w:pPr>
          </w:p>
        </w:tc>
      </w:tr>
      <w:tr w:rsidR="002116ED" w14:paraId="37722888" w14:textId="77777777" w:rsidTr="002116ED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A298C1" w14:textId="77777777" w:rsidR="00E3574E" w:rsidRPr="002116ED" w:rsidRDefault="00E3574E" w:rsidP="002116ED">
            <w:pPr>
              <w:spacing w:before="0" w:after="0"/>
              <w:jc w:val="right"/>
              <w:rPr>
                <w:sz w:val="20"/>
              </w:rPr>
            </w:pPr>
            <w:r w:rsidRPr="002116ED">
              <w:rPr>
                <w:sz w:val="20"/>
              </w:rPr>
              <w:t>Časti identifikátora</w:t>
            </w:r>
            <w:r w:rsidR="00B55DA3" w:rsidRPr="002116ED">
              <w:rPr>
                <w:sz w:val="20"/>
              </w:rPr>
              <w:t>:</w:t>
            </w:r>
          </w:p>
          <w:p w14:paraId="44F3F235" w14:textId="0F19BB2D" w:rsidR="002116ED" w:rsidRPr="002116ED" w:rsidRDefault="002116ED" w:rsidP="002116ED">
            <w:pPr>
              <w:spacing w:before="0" w:after="0"/>
              <w:jc w:val="right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5D9FB218" w14:textId="2BD33AD2" w:rsidR="00E3574E" w:rsidRPr="002116ED" w:rsidRDefault="00E3574E" w:rsidP="00E3574E">
            <w:pPr>
              <w:spacing w:before="0" w:after="0"/>
              <w:rPr>
                <w:sz w:val="20"/>
              </w:rPr>
            </w:pPr>
            <w:r w:rsidRPr="002116ED">
              <w:rPr>
                <w:sz w:val="20"/>
              </w:rPr>
              <w:t>číslo subjektu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52803090" w14:textId="61844F5F" w:rsidR="00E3574E" w:rsidRPr="002116ED" w:rsidRDefault="00E3574E" w:rsidP="00E3574E">
            <w:pPr>
              <w:spacing w:before="0" w:after="0"/>
              <w:rPr>
                <w:sz w:val="20"/>
              </w:rPr>
            </w:pPr>
            <w:r w:rsidRPr="002116ED">
              <w:rPr>
                <w:sz w:val="20"/>
              </w:rPr>
              <w:t>kontrolné číslo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1AD3E918" w14:textId="2D9D3014" w:rsidR="00E3574E" w:rsidRPr="002116ED" w:rsidRDefault="00E3574E" w:rsidP="00E3574E">
            <w:pPr>
              <w:spacing w:before="0" w:after="0"/>
              <w:rPr>
                <w:sz w:val="20"/>
              </w:rPr>
            </w:pPr>
            <w:r w:rsidRPr="002116ED">
              <w:rPr>
                <w:sz w:val="20"/>
              </w:rPr>
              <w:t>rozšírenie IČO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EA1FCF5" w14:textId="77777777" w:rsidR="00E3574E" w:rsidRDefault="00E3574E" w:rsidP="00E3574E">
            <w:pPr>
              <w:spacing w:before="0" w:after="0"/>
            </w:pPr>
          </w:p>
        </w:tc>
      </w:tr>
      <w:tr w:rsidR="00E3574E" w14:paraId="6A47514E" w14:textId="77777777" w:rsidTr="002116ED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CAD903" w14:textId="77777777" w:rsidR="00E3574E" w:rsidRPr="002116ED" w:rsidRDefault="00E3574E" w:rsidP="00E3574E">
            <w:pPr>
              <w:spacing w:before="0" w:after="0"/>
              <w:rPr>
                <w:sz w:val="20"/>
              </w:rPr>
            </w:pPr>
            <w:r w:rsidRPr="002116ED">
              <w:rPr>
                <w:sz w:val="20"/>
              </w:rPr>
              <w:t>Názov identifikátora</w:t>
            </w:r>
            <w:r w:rsidR="00B55DA3" w:rsidRPr="002116ED">
              <w:rPr>
                <w:sz w:val="20"/>
              </w:rPr>
              <w:t>:</w:t>
            </w:r>
          </w:p>
          <w:p w14:paraId="3189C7F8" w14:textId="692E7700" w:rsidR="002116ED" w:rsidRPr="002116ED" w:rsidRDefault="002116ED" w:rsidP="00E3574E">
            <w:pPr>
              <w:spacing w:before="0" w:after="0"/>
              <w:rPr>
                <w:sz w:val="20"/>
              </w:rPr>
            </w:pPr>
          </w:p>
        </w:tc>
        <w:tc>
          <w:tcPr>
            <w:tcW w:w="552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1C009B" w14:textId="4290A621" w:rsidR="00E3574E" w:rsidRPr="002116ED" w:rsidRDefault="00E3574E" w:rsidP="00E3574E">
            <w:pPr>
              <w:spacing w:before="0" w:after="0"/>
              <w:rPr>
                <w:sz w:val="20"/>
              </w:rPr>
            </w:pPr>
            <w:r w:rsidRPr="002116ED">
              <w:rPr>
                <w:sz w:val="20"/>
              </w:rPr>
              <w:t>osobitný identifikátor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500E75" w14:textId="0AE4BA0E" w:rsidR="00E3574E" w:rsidRDefault="00E3574E" w:rsidP="002116ED">
            <w:pPr>
              <w:spacing w:before="0" w:after="0"/>
              <w:jc w:val="left"/>
            </w:pPr>
          </w:p>
        </w:tc>
      </w:tr>
    </w:tbl>
    <w:p w14:paraId="6E01E13A" w14:textId="77777777" w:rsidR="009B2E6E" w:rsidRDefault="009B2E6E" w:rsidP="00ED444F">
      <w:pPr>
        <w:pStyle w:val="Nadpis3"/>
      </w:pPr>
      <w:r>
        <w:t>Prideľovanie IČO</w:t>
      </w:r>
    </w:p>
    <w:p w14:paraId="592A5CD0" w14:textId="7E6104B6" w:rsidR="009B2E6E" w:rsidRDefault="000B5ECB" w:rsidP="00DF2D94">
      <w:r>
        <w:t>P</w:t>
      </w:r>
      <w:r w:rsidR="009B2E6E">
        <w:t>rideľ</w:t>
      </w:r>
      <w:r>
        <w:t>ovanie</w:t>
      </w:r>
      <w:r w:rsidR="009B2E6E">
        <w:t xml:space="preserve"> IČO právnickej osobe alebo podnikateľovi </w:t>
      </w:r>
      <w:r>
        <w:t xml:space="preserve">stanovuje § 27 ods. 5 zákona č. </w:t>
      </w:r>
      <w:r w:rsidR="00FB74D9">
        <w:t>298</w:t>
      </w:r>
      <w:r>
        <w:t>/201</w:t>
      </w:r>
      <w:r w:rsidR="00FB74D9">
        <w:t>0</w:t>
      </w:r>
      <w:r>
        <w:t xml:space="preserve"> Z. z. </w:t>
      </w:r>
      <w:r w:rsidR="00FB74D9">
        <w:t xml:space="preserve">v znení neskorších predpisov </w:t>
      </w:r>
      <w:r>
        <w:t xml:space="preserve">takto: </w:t>
      </w:r>
    </w:p>
    <w:p w14:paraId="49378362" w14:textId="5AEFF45D" w:rsidR="00234D8A" w:rsidRDefault="00234D8A" w:rsidP="00234D8A">
      <w:pPr>
        <w:numPr>
          <w:ilvl w:val="0"/>
          <w:numId w:val="5"/>
        </w:numPr>
        <w:ind w:left="709" w:hanging="349"/>
      </w:pPr>
      <w:r>
        <w:t>p</w:t>
      </w:r>
      <w:r w:rsidRPr="00234D8A">
        <w:t>rávnick</w:t>
      </w:r>
      <w:r>
        <w:t xml:space="preserve">á </w:t>
      </w:r>
      <w:r w:rsidRPr="00234D8A">
        <w:t>osob</w:t>
      </w:r>
      <w:r>
        <w:t>a</w:t>
      </w:r>
      <w:r w:rsidRPr="00234D8A">
        <w:t xml:space="preserve"> zapísan</w:t>
      </w:r>
      <w:r>
        <w:t xml:space="preserve">á </w:t>
      </w:r>
      <w:r w:rsidRPr="00234D8A">
        <w:t xml:space="preserve">do obchodného registra </w:t>
      </w:r>
      <w:r>
        <w:t xml:space="preserve">– IČO </w:t>
      </w:r>
      <w:r w:rsidRPr="00234D8A">
        <w:t xml:space="preserve">prideľuje </w:t>
      </w:r>
      <w:r w:rsidR="00A95DA6">
        <w:t>okresný</w:t>
      </w:r>
      <w:r w:rsidR="003954EB">
        <w:t xml:space="preserve"> </w:t>
      </w:r>
      <w:r w:rsidRPr="00234D8A">
        <w:t xml:space="preserve"> </w:t>
      </w:r>
      <w:r w:rsidRPr="00FB74D9">
        <w:t>úrad pri</w:t>
      </w:r>
      <w:r w:rsidRPr="00234D8A">
        <w:t xml:space="preserve"> vydávaní živnostenského oprávnenia</w:t>
      </w:r>
      <w:r>
        <w:t>,</w:t>
      </w:r>
    </w:p>
    <w:p w14:paraId="71B82F0D" w14:textId="77777777" w:rsidR="00234D8A" w:rsidRDefault="00234D8A" w:rsidP="00234D8A">
      <w:pPr>
        <w:numPr>
          <w:ilvl w:val="0"/>
          <w:numId w:val="5"/>
        </w:numPr>
        <w:ind w:left="709" w:hanging="349"/>
      </w:pPr>
      <w:r>
        <w:t>p</w:t>
      </w:r>
      <w:r w:rsidRPr="00234D8A">
        <w:t>rávnick</w:t>
      </w:r>
      <w:r>
        <w:t xml:space="preserve">á </w:t>
      </w:r>
      <w:r w:rsidRPr="00234D8A">
        <w:t>osob</w:t>
      </w:r>
      <w:r>
        <w:t>a</w:t>
      </w:r>
      <w:r w:rsidRPr="00234D8A">
        <w:t>, pre ktorej založenie nie je nutné živnostenské oprávnenie</w:t>
      </w:r>
      <w:r>
        <w:t xml:space="preserve"> - IČO</w:t>
      </w:r>
      <w:r w:rsidRPr="00234D8A">
        <w:t xml:space="preserve"> prideľuje </w:t>
      </w:r>
      <w:r>
        <w:t>registrový súd,</w:t>
      </w:r>
    </w:p>
    <w:p w14:paraId="41F1E781" w14:textId="082CCB0A" w:rsidR="00234D8A" w:rsidRDefault="00234D8A" w:rsidP="00234D8A">
      <w:pPr>
        <w:numPr>
          <w:ilvl w:val="0"/>
          <w:numId w:val="5"/>
        </w:numPr>
        <w:ind w:left="709" w:hanging="349"/>
      </w:pPr>
      <w:r>
        <w:t>n</w:t>
      </w:r>
      <w:r w:rsidRPr="00234D8A">
        <w:t>einvestičný fond, záujmov</w:t>
      </w:r>
      <w:r>
        <w:t>é</w:t>
      </w:r>
      <w:r w:rsidRPr="00234D8A">
        <w:t xml:space="preserve"> združen</w:t>
      </w:r>
      <w:r>
        <w:t>e</w:t>
      </w:r>
      <w:r w:rsidRPr="00234D8A">
        <w:t xml:space="preserve"> právnických osôb</w:t>
      </w:r>
      <w:r>
        <w:t>,</w:t>
      </w:r>
      <w:r w:rsidRPr="00234D8A">
        <w:t xml:space="preserve"> neziskov</w:t>
      </w:r>
      <w:r>
        <w:t>á</w:t>
      </w:r>
      <w:r w:rsidRPr="00234D8A">
        <w:t xml:space="preserve"> organizáci</w:t>
      </w:r>
      <w:r>
        <w:t>a</w:t>
      </w:r>
      <w:r w:rsidRPr="00234D8A">
        <w:t xml:space="preserve"> poskytujúc</w:t>
      </w:r>
      <w:r>
        <w:t>a</w:t>
      </w:r>
      <w:r w:rsidRPr="00234D8A">
        <w:t xml:space="preserve"> v</w:t>
      </w:r>
      <w:r w:rsidR="000B5ECB">
        <w:t>šeobecno</w:t>
      </w:r>
      <w:r w:rsidRPr="00234D8A">
        <w:t xml:space="preserve">prospešné služby </w:t>
      </w:r>
      <w:r>
        <w:t xml:space="preserve">– IČO </w:t>
      </w:r>
      <w:r w:rsidRPr="00234D8A">
        <w:t xml:space="preserve">prideľuje </w:t>
      </w:r>
      <w:r w:rsidR="00A95DA6">
        <w:t>okresný</w:t>
      </w:r>
      <w:r w:rsidR="00A95DA6" w:rsidRPr="00234D8A">
        <w:t xml:space="preserve"> </w:t>
      </w:r>
      <w:r w:rsidRPr="00234D8A">
        <w:t>úrad</w:t>
      </w:r>
      <w:r>
        <w:t>,</w:t>
      </w:r>
    </w:p>
    <w:p w14:paraId="784B1B59" w14:textId="1447CE7E" w:rsidR="00234D8A" w:rsidRDefault="00234D8A" w:rsidP="00234D8A">
      <w:pPr>
        <w:numPr>
          <w:ilvl w:val="0"/>
          <w:numId w:val="5"/>
        </w:numPr>
        <w:ind w:left="709" w:hanging="349"/>
      </w:pPr>
      <w:r>
        <w:t>p</w:t>
      </w:r>
      <w:r w:rsidRPr="00234D8A">
        <w:t xml:space="preserve">odnikateľ podnikajúci na základe živnostenského oprávnenia </w:t>
      </w:r>
      <w:r>
        <w:t xml:space="preserve">– IČO </w:t>
      </w:r>
      <w:r w:rsidRPr="00234D8A">
        <w:t xml:space="preserve">prideľuje </w:t>
      </w:r>
      <w:r w:rsidR="00A95DA6">
        <w:t>okresný</w:t>
      </w:r>
      <w:r w:rsidR="003954EB">
        <w:t xml:space="preserve"> </w:t>
      </w:r>
      <w:r w:rsidRPr="00234D8A">
        <w:t>úrad</w:t>
      </w:r>
      <w:r>
        <w:t>,</w:t>
      </w:r>
    </w:p>
    <w:p w14:paraId="74651D37" w14:textId="21C9784A" w:rsidR="00234D8A" w:rsidRPr="000D6614" w:rsidRDefault="00234D8A" w:rsidP="00FB74D9">
      <w:pPr>
        <w:numPr>
          <w:ilvl w:val="0"/>
          <w:numId w:val="5"/>
        </w:numPr>
        <w:ind w:left="709" w:hanging="349"/>
      </w:pPr>
      <w:r>
        <w:t>p</w:t>
      </w:r>
      <w:r w:rsidRPr="00234D8A">
        <w:t>odnikateľ podnikajúci na základe iného než živnostenského oprávnenia, rozpočtov</w:t>
      </w:r>
      <w:r>
        <w:t>á</w:t>
      </w:r>
      <w:r w:rsidRPr="00234D8A">
        <w:t xml:space="preserve"> a príspevkov</w:t>
      </w:r>
      <w:r>
        <w:t>á</w:t>
      </w:r>
      <w:r w:rsidRPr="00234D8A">
        <w:t xml:space="preserve"> organizáci</w:t>
      </w:r>
      <w:r>
        <w:t>a</w:t>
      </w:r>
      <w:r w:rsidRPr="00234D8A">
        <w:t>, nadáci</w:t>
      </w:r>
      <w:r>
        <w:t>a</w:t>
      </w:r>
      <w:r w:rsidRPr="00234D8A">
        <w:t>, pozemkov</w:t>
      </w:r>
      <w:r>
        <w:t>é</w:t>
      </w:r>
      <w:r w:rsidRPr="00234D8A">
        <w:t xml:space="preserve"> a in</w:t>
      </w:r>
      <w:r>
        <w:t>é</w:t>
      </w:r>
      <w:r w:rsidRPr="00234D8A">
        <w:t xml:space="preserve"> účelov</w:t>
      </w:r>
      <w:r>
        <w:t>é</w:t>
      </w:r>
      <w:r w:rsidRPr="00234D8A">
        <w:t xml:space="preserve"> spoločenstv</w:t>
      </w:r>
      <w:r>
        <w:t>o</w:t>
      </w:r>
      <w:r w:rsidRPr="00234D8A">
        <w:t>, politick</w:t>
      </w:r>
      <w:r>
        <w:t>á</w:t>
      </w:r>
      <w:r w:rsidRPr="00234D8A">
        <w:t xml:space="preserve"> stran</w:t>
      </w:r>
      <w:r>
        <w:t>a</w:t>
      </w:r>
      <w:r w:rsidRPr="00234D8A">
        <w:t xml:space="preserve"> a hnuti</w:t>
      </w:r>
      <w:r>
        <w:t>e</w:t>
      </w:r>
      <w:r w:rsidRPr="00234D8A">
        <w:t>, cirkevn</w:t>
      </w:r>
      <w:r>
        <w:t>á</w:t>
      </w:r>
      <w:r w:rsidRPr="00234D8A">
        <w:t xml:space="preserve"> organizáci</w:t>
      </w:r>
      <w:r>
        <w:t>a</w:t>
      </w:r>
      <w:r w:rsidRPr="00234D8A">
        <w:t>, nábožensk</w:t>
      </w:r>
      <w:r>
        <w:t>á</w:t>
      </w:r>
      <w:r w:rsidRPr="00234D8A">
        <w:t xml:space="preserve"> spoločnos</w:t>
      </w:r>
      <w:r>
        <w:t>ť,</w:t>
      </w:r>
      <w:r w:rsidRPr="00234D8A">
        <w:t xml:space="preserve"> </w:t>
      </w:r>
      <w:r>
        <w:t>iná</w:t>
      </w:r>
      <w:r w:rsidRPr="00234D8A">
        <w:t xml:space="preserve"> právnick</w:t>
      </w:r>
      <w:r>
        <w:t>á</w:t>
      </w:r>
      <w:r w:rsidRPr="00234D8A">
        <w:t xml:space="preserve"> osob</w:t>
      </w:r>
      <w:r>
        <w:t>a</w:t>
      </w:r>
      <w:r w:rsidRPr="00234D8A">
        <w:t>, ktor</w:t>
      </w:r>
      <w:r>
        <w:t>á</w:t>
      </w:r>
      <w:r w:rsidRPr="00234D8A">
        <w:t xml:space="preserve"> sa nezapisuj</w:t>
      </w:r>
      <w:r>
        <w:t xml:space="preserve">e </w:t>
      </w:r>
      <w:r w:rsidRPr="00234D8A">
        <w:t>do obchodného registra</w:t>
      </w:r>
      <w:r>
        <w:t xml:space="preserve"> – IČO </w:t>
      </w:r>
      <w:r w:rsidRPr="00234D8A">
        <w:t>prideľuje Š</w:t>
      </w:r>
      <w:r>
        <w:t xml:space="preserve">ÚSR </w:t>
      </w:r>
      <w:r w:rsidRPr="00234D8A">
        <w:t>prostredníctvom svojich pracovísk</w:t>
      </w:r>
      <w:r w:rsidR="003954EB">
        <w:t xml:space="preserve"> alebo </w:t>
      </w:r>
      <w:r w:rsidR="00A95DA6">
        <w:t>okresný</w:t>
      </w:r>
      <w:r w:rsidR="003954EB">
        <w:t xml:space="preserve"> úrad prostredníctvom JKM</w:t>
      </w:r>
      <w:r>
        <w:t>.</w:t>
      </w:r>
    </w:p>
    <w:p w14:paraId="2CA78586" w14:textId="6A98B90C" w:rsidR="00CF42BC" w:rsidRPr="001E27D7" w:rsidRDefault="00CF42BC" w:rsidP="00ED444F">
      <w:pPr>
        <w:pStyle w:val="Nadpis3"/>
      </w:pPr>
      <w:r w:rsidRPr="001E27D7">
        <w:lastRenderedPageBreak/>
        <w:t>Prideľovanie osobitného identifikátora</w:t>
      </w:r>
    </w:p>
    <w:p w14:paraId="17403DC9" w14:textId="25B661A6" w:rsidR="00CF42BC" w:rsidRPr="00CF42BC" w:rsidRDefault="001E27D7" w:rsidP="00FB74D9">
      <w:r>
        <w:t>I</w:t>
      </w:r>
      <w:r w:rsidR="00474CE0" w:rsidRPr="00474CE0">
        <w:t>dentifikácia závodov, organizačných jednotiek, orgánov verejnej moci a ostatných osôb bez právnej subjektivity je realizovaná prostredníctvom osobitného identifikátora podľa ods. 4 §27 zákona</w:t>
      </w:r>
      <w:r w:rsidR="00FB74D9">
        <w:t xml:space="preserve"> č. 298/</w:t>
      </w:r>
      <w:r w:rsidR="00474CE0" w:rsidRPr="00474CE0">
        <w:t>201</w:t>
      </w:r>
      <w:r w:rsidR="00FB74D9">
        <w:t>0</w:t>
      </w:r>
      <w:r w:rsidR="00474CE0" w:rsidRPr="00474CE0">
        <w:t xml:space="preserve"> Z.z. o štátnej štatistike v znení neskorších predpisov. </w:t>
      </w:r>
      <w:r>
        <w:t>O</w:t>
      </w:r>
      <w:r w:rsidR="00CF42BC" w:rsidRPr="00FB74D9">
        <w:t>sobitný identifikátor</w:t>
      </w:r>
      <w:r w:rsidR="00CF42BC">
        <w:t xml:space="preserve"> </w:t>
      </w:r>
      <w:r>
        <w:t xml:space="preserve">prideľuje </w:t>
      </w:r>
      <w:r w:rsidR="00CF42BC">
        <w:t>výlučne ŠÚSR</w:t>
      </w:r>
      <w:r>
        <w:t xml:space="preserve"> a</w:t>
      </w:r>
      <w:r w:rsidR="00CF42BC">
        <w:t xml:space="preserve"> taktiež rozhoduje o konštrukcii tohto identifikátora. </w:t>
      </w:r>
    </w:p>
    <w:p w14:paraId="5C086E78" w14:textId="6FFE2427" w:rsidR="00E0658A" w:rsidRDefault="00DB7C2B" w:rsidP="00ED444F">
      <w:pPr>
        <w:pStyle w:val="Nadpis3"/>
      </w:pPr>
      <w:r>
        <w:t>Údaje o</w:t>
      </w:r>
      <w:r w:rsidR="00E0658A">
        <w:t xml:space="preserve"> pridelených </w:t>
      </w:r>
      <w:r w:rsidRPr="00ED444F">
        <w:t>osobitných</w:t>
      </w:r>
      <w:r>
        <w:t xml:space="preserve"> identifikátoroch</w:t>
      </w:r>
    </w:p>
    <w:p w14:paraId="7E84F2FC" w14:textId="58F523F2" w:rsidR="00E0658A" w:rsidRDefault="00E0658A" w:rsidP="00E0658A">
      <w:r>
        <w:t xml:space="preserve">V čase prípravy tohoto dokumentu </w:t>
      </w:r>
      <w:r w:rsidR="00CD12D8">
        <w:t>ŠÚSR evidoval nasledujúce počty:</w:t>
      </w:r>
    </w:p>
    <w:p w14:paraId="11CC4E66" w14:textId="2A7EADFE" w:rsidR="00CD12D8" w:rsidRDefault="00CD12D8" w:rsidP="00F31CAE">
      <w:pPr>
        <w:numPr>
          <w:ilvl w:val="0"/>
          <w:numId w:val="5"/>
        </w:numPr>
        <w:ind w:left="709" w:hanging="349"/>
      </w:pPr>
      <w:r>
        <w:t xml:space="preserve">počet </w:t>
      </w:r>
      <w:r w:rsidR="005B333B">
        <w:t xml:space="preserve">IČO na základe ktorých bol vytvorený aspoň jeden </w:t>
      </w:r>
      <w:r w:rsidR="008775BE">
        <w:t>osobitný identifikátor</w:t>
      </w:r>
      <w:r w:rsidR="0010763E">
        <w:t xml:space="preserve"> </w:t>
      </w:r>
      <w:r w:rsidR="0010763E" w:rsidRPr="0010763E">
        <w:t xml:space="preserve">podľa §27, odsek 4 zákona </w:t>
      </w:r>
      <w:r w:rsidR="005B333B">
        <w:t>č. 298/2010</w:t>
      </w:r>
      <w:r w:rsidR="0010763E" w:rsidRPr="0010763E">
        <w:t xml:space="preserve"> Z.z.</w:t>
      </w:r>
      <w:r w:rsidR="005B333B">
        <w:t xml:space="preserve"> v znení neskorších predpisov</w:t>
      </w:r>
      <w:r w:rsidRPr="00FB74D9">
        <w:t>:</w:t>
      </w:r>
      <w:r>
        <w:t xml:space="preserve"> </w:t>
      </w:r>
      <w:r w:rsidR="00FB74D9">
        <w:t>181</w:t>
      </w:r>
      <w:r w:rsidR="00DB7C2B">
        <w:t>,</w:t>
      </w:r>
    </w:p>
    <w:p w14:paraId="2B0145C5" w14:textId="688308CA" w:rsidR="00CD12D8" w:rsidRDefault="00DB7C2B" w:rsidP="00CD12D8">
      <w:pPr>
        <w:numPr>
          <w:ilvl w:val="0"/>
          <w:numId w:val="5"/>
        </w:numPr>
        <w:ind w:left="709" w:hanging="349"/>
      </w:pPr>
      <w:r>
        <w:t>najv</w:t>
      </w:r>
      <w:r w:rsidR="005B333B">
        <w:t>yšší počet osobitných identifikátorov vytvorených pre jedno IČO</w:t>
      </w:r>
      <w:r w:rsidR="00CD12D8">
        <w:t>:</w:t>
      </w:r>
      <w:r w:rsidR="005B333B">
        <w:t xml:space="preserve"> </w:t>
      </w:r>
      <w:r w:rsidR="001E27D7">
        <w:t>1671</w:t>
      </w:r>
      <w:r>
        <w:t>,</w:t>
      </w:r>
    </w:p>
    <w:p w14:paraId="28192A93" w14:textId="6CDCE2C6" w:rsidR="00DB7C2B" w:rsidRDefault="00DB7C2B" w:rsidP="00CD12D8">
      <w:pPr>
        <w:numPr>
          <w:ilvl w:val="0"/>
          <w:numId w:val="5"/>
        </w:numPr>
        <w:ind w:left="709" w:hanging="349"/>
      </w:pPr>
      <w:r>
        <w:t>najvyššie číslo použité ako rozšírenie IČO: 7207.</w:t>
      </w:r>
    </w:p>
    <w:p w14:paraId="661EB8CB" w14:textId="0591E6A8" w:rsidR="009B2E6E" w:rsidRDefault="009B2E6E" w:rsidP="009B2E6E">
      <w:pPr>
        <w:pStyle w:val="Nadpis2"/>
        <w:tabs>
          <w:tab w:val="left" w:pos="431"/>
        </w:tabs>
        <w:ind w:left="578" w:hanging="578"/>
      </w:pPr>
      <w:bookmarkStart w:id="6" w:name="_Toc399517892"/>
      <w:r>
        <w:t xml:space="preserve">Problémy </w:t>
      </w:r>
      <w:r w:rsidR="005D0781">
        <w:t>identifikácie</w:t>
      </w:r>
      <w:bookmarkEnd w:id="6"/>
    </w:p>
    <w:p w14:paraId="43A440A7" w14:textId="26228D39" w:rsidR="009B3DB6" w:rsidRPr="000D6614" w:rsidRDefault="00E0658A" w:rsidP="007426CE">
      <w:r>
        <w:t>V súčasnosti používaný spôsob prideľovania a používania IČO vedie k niektorým problém</w:t>
      </w:r>
      <w:r w:rsidR="005D0781">
        <w:t>om</w:t>
      </w:r>
      <w:r>
        <w:t>, z ktorých n</w:t>
      </w:r>
      <w:r w:rsidR="009B3DB6" w:rsidRPr="000D6614">
        <w:t>ajvýznamnejšie sú:</w:t>
      </w:r>
    </w:p>
    <w:p w14:paraId="0F5118A5" w14:textId="506AF270" w:rsidR="007426CE" w:rsidRPr="000D6614" w:rsidRDefault="009B3DB6" w:rsidP="009B3DB6">
      <w:pPr>
        <w:numPr>
          <w:ilvl w:val="0"/>
          <w:numId w:val="5"/>
        </w:numPr>
        <w:ind w:left="709" w:hanging="349"/>
      </w:pPr>
      <w:r w:rsidRPr="000D6614">
        <w:t xml:space="preserve">existencia viacerých formátov </w:t>
      </w:r>
      <w:r w:rsidR="005D0781">
        <w:t>identifikátora</w:t>
      </w:r>
      <w:r w:rsidR="005D0781" w:rsidRPr="000D6614">
        <w:t xml:space="preserve"> </w:t>
      </w:r>
      <w:r w:rsidR="00DF2D94">
        <w:t>–</w:t>
      </w:r>
      <w:r w:rsidRPr="000D6614">
        <w:t xml:space="preserve"> </w:t>
      </w:r>
      <w:r w:rsidR="00DF2D94">
        <w:t xml:space="preserve">štandardná dĺžka IČO je 8 číslic avšak </w:t>
      </w:r>
      <w:r w:rsidR="005D0781">
        <w:t xml:space="preserve">orgánom verejnej moci a </w:t>
      </w:r>
      <w:r w:rsidR="005D0781" w:rsidRPr="005D0781">
        <w:t>organizačným zložkám bez právnej subjektivity zriadeným právnickou osobou alebo podnikateľom</w:t>
      </w:r>
      <w:r w:rsidR="00E0658A">
        <w:t xml:space="preserve"> (kde sa využije rozšírenie IČO) </w:t>
      </w:r>
      <w:r w:rsidR="00DF2D94">
        <w:t xml:space="preserve">je </w:t>
      </w:r>
      <w:r w:rsidR="00E0658A">
        <w:t xml:space="preserve">jeho </w:t>
      </w:r>
      <w:r w:rsidR="00DF2D94">
        <w:t xml:space="preserve">dĺžka </w:t>
      </w:r>
      <w:r w:rsidRPr="000D6614">
        <w:t xml:space="preserve">12 </w:t>
      </w:r>
      <w:r w:rsidR="00DF2D94">
        <w:t>číslic</w:t>
      </w:r>
      <w:r w:rsidR="00E0658A">
        <w:t>. Keďže v bežných podmienkach sa subjekty stretávajú s</w:t>
      </w:r>
      <w:r w:rsidR="005D0781">
        <w:t xml:space="preserve"> identifikátorom </w:t>
      </w:r>
      <w:r w:rsidR="00E0658A">
        <w:t>IČO, ktorého dĺžka je 8 číslic, majú vlastné procesy a technické vybavenie</w:t>
      </w:r>
      <w:r w:rsidR="00F13C0D">
        <w:t xml:space="preserve"> obvykle</w:t>
      </w:r>
      <w:r w:rsidR="00E0658A">
        <w:t xml:space="preserve"> nastavené pre takýto formát, čo môže viesť k problémom v prípade ak prídu do kontaktu so subjektom, ktorého </w:t>
      </w:r>
      <w:r w:rsidR="005D0781">
        <w:t xml:space="preserve">identifikátor </w:t>
      </w:r>
      <w:r w:rsidR="00E0658A">
        <w:t>je 12 miestn</w:t>
      </w:r>
      <w:r w:rsidR="005D0781">
        <w:t>y</w:t>
      </w:r>
      <w:r w:rsidR="00E0658A">
        <w:t>,</w:t>
      </w:r>
    </w:p>
    <w:p w14:paraId="352B1A7B" w14:textId="02BB7712" w:rsidR="007426CE" w:rsidRPr="000D6614" w:rsidRDefault="009B3DB6" w:rsidP="007426CE">
      <w:pPr>
        <w:numPr>
          <w:ilvl w:val="0"/>
          <w:numId w:val="5"/>
        </w:numPr>
        <w:ind w:left="709" w:hanging="349"/>
      </w:pPr>
      <w:r w:rsidRPr="000D6614">
        <w:t>duplicita IČO – existencia rôznych subjektov s prideleným rovnakým IČO</w:t>
      </w:r>
      <w:r w:rsidR="007426CE" w:rsidRPr="000D6614">
        <w:t>.</w:t>
      </w:r>
      <w:r w:rsidR="00E0658A">
        <w:t xml:space="preserve"> </w:t>
      </w:r>
      <w:r w:rsidR="006F0C1C">
        <w:t>Uvedené subjekty sú dôsledkom nedostatočného koordinovania prideľovania identifikátorov na úrovni zdrojovej evidencie, kde sa v minulosti mohlo stať, že bol identifikátor pridelený opakovane. V súčasnosti tomu technické prostriedky bránia. Zákon</w:t>
      </w:r>
      <w:r w:rsidR="000F4037">
        <w:t xml:space="preserve"> však</w:t>
      </w:r>
      <w:r w:rsidR="006F0C1C">
        <w:t xml:space="preserve"> duplicitný identifikátor nepripúšťa.</w:t>
      </w:r>
    </w:p>
    <w:p w14:paraId="51A39E6C" w14:textId="77777777" w:rsidR="007426CE" w:rsidRPr="000D6614" w:rsidRDefault="005614A9" w:rsidP="005614A9">
      <w:pPr>
        <w:pStyle w:val="Nadpis2"/>
        <w:tabs>
          <w:tab w:val="left" w:pos="431"/>
        </w:tabs>
        <w:ind w:left="578" w:hanging="578"/>
      </w:pPr>
      <w:bookmarkStart w:id="7" w:name="_Toc399517893"/>
      <w:r w:rsidRPr="000D6614">
        <w:t>Požadované vlastnosti IPO</w:t>
      </w:r>
      <w:bookmarkEnd w:id="7"/>
    </w:p>
    <w:p w14:paraId="633342F8" w14:textId="7B6D7DDB" w:rsidR="001E3FDE" w:rsidRDefault="001E3FDE" w:rsidP="00342B3B">
      <w:r>
        <w:t>IPO bol vymedzený v rámci Národnej koncepcie informatizácie verejnej správy nasledovne:</w:t>
      </w:r>
    </w:p>
    <w:p w14:paraId="17829C58" w14:textId="7370A9BF" w:rsidR="001E3FDE" w:rsidRPr="001E3FDE" w:rsidRDefault="001E3FDE" w:rsidP="001E3FDE">
      <w:pPr>
        <w:rPr>
          <w:i/>
        </w:rPr>
      </w:pPr>
      <w:r w:rsidRPr="001E3FDE">
        <w:rPr>
          <w:i/>
        </w:rPr>
        <w:lastRenderedPageBreak/>
        <w:t xml:space="preserve">„Identifikátor právnických osôb a podnikateľov je ďalším základným identifikátorom, ktorý bude  jednoznačne identifikovať právnické osoby a podnikateľov.“ </w:t>
      </w:r>
    </w:p>
    <w:p w14:paraId="58E5AE0E" w14:textId="77777777" w:rsidR="00F31CAE" w:rsidRDefault="001E3FDE" w:rsidP="00342B3B">
      <w:pPr>
        <w:rPr>
          <w:i/>
        </w:rPr>
      </w:pPr>
      <w:r w:rsidRPr="001E3FDE">
        <w:rPr>
          <w:i/>
        </w:rPr>
        <w:t>„IPO bude evidovaný a spravovaný registrom právnických osôb a podnikateľov (bližšie opísaný v podkapitole 4.2.4.2) a zároveň bude pridelený všetkým právnickým osobám a podnikateľom konajúcim voči verejnej správe, resp. všetkým právnickým osobám a podnikateľom, ktorých údaje sú evidované v ľubovoľnom ISVS.</w:t>
      </w:r>
      <w:r w:rsidR="00105D69">
        <w:rPr>
          <w:i/>
        </w:rPr>
        <w:t>“</w:t>
      </w:r>
    </w:p>
    <w:p w14:paraId="0D0188DA" w14:textId="7E53458B" w:rsidR="005614A9" w:rsidRPr="000D6614" w:rsidRDefault="001E3FDE" w:rsidP="00342B3B">
      <w:r>
        <w:t>Vzhľadom na uvedené skutočnosti ohľadne IPO a vlastnosti IČO, p</w:t>
      </w:r>
      <w:r w:rsidR="005614A9" w:rsidRPr="000D6614">
        <w:t>re naplnenie požiadaviek súvisiacich s používaním IPO je potrebné</w:t>
      </w:r>
      <w:r w:rsidR="00173FF3">
        <w:t>,</w:t>
      </w:r>
      <w:r w:rsidR="005614A9" w:rsidRPr="000D6614">
        <w:t xml:space="preserve"> aby IPO </w:t>
      </w:r>
      <w:r w:rsidR="00CF42BC">
        <w:t xml:space="preserve">spĺňalo vlastnosti súčasného IČO, čiže </w:t>
      </w:r>
      <w:r w:rsidR="005614A9" w:rsidRPr="000D6614">
        <w:t xml:space="preserve"> nasledujúce vlastnosti:</w:t>
      </w:r>
    </w:p>
    <w:p w14:paraId="0EEBD117" w14:textId="77777777" w:rsidR="005614A9" w:rsidRPr="000D6614" w:rsidRDefault="005614A9" w:rsidP="003C7278">
      <w:pPr>
        <w:numPr>
          <w:ilvl w:val="0"/>
          <w:numId w:val="5"/>
        </w:numPr>
        <w:ind w:left="709" w:hanging="349"/>
      </w:pPr>
      <w:r w:rsidRPr="000D6614">
        <w:t>IPO je pridelené každej právnickej osobe alebo podnikateľovi</w:t>
      </w:r>
      <w:r w:rsidR="003C7278" w:rsidRPr="000D6614">
        <w:t>,</w:t>
      </w:r>
    </w:p>
    <w:p w14:paraId="07C1142F" w14:textId="77777777" w:rsidR="005614A9" w:rsidRPr="000D6614" w:rsidRDefault="005614A9" w:rsidP="003C7278">
      <w:pPr>
        <w:numPr>
          <w:ilvl w:val="0"/>
          <w:numId w:val="5"/>
        </w:numPr>
        <w:ind w:left="709" w:hanging="349"/>
      </w:pPr>
      <w:r w:rsidRPr="000D6614">
        <w:t xml:space="preserve">jedinečnosť – každá </w:t>
      </w:r>
      <w:r w:rsidR="000D6614" w:rsidRPr="000D6614">
        <w:t>právnická</w:t>
      </w:r>
      <w:r w:rsidRPr="000D6614">
        <w:t xml:space="preserve"> osoba alebo podnikateľ má pridelené jedno IPO a neexistujú rôzne právnické osoby alebo podnikatelia, ktorí majú pridelené rovnaké IPO. IPO</w:t>
      </w:r>
      <w:r w:rsidR="00AB70C8">
        <w:t>,</w:t>
      </w:r>
      <w:r w:rsidRPr="000D6614">
        <w:t xml:space="preserve"> ktoré bolo pridelené nejakej právnickej osobe alebo podnikateľovi</w:t>
      </w:r>
      <w:r w:rsidR="00AB70C8">
        <w:t>,</w:t>
      </w:r>
      <w:r w:rsidRPr="000D6614">
        <w:t xml:space="preserve"> sa nepridelí inej právnickej osobe alebo podnikateľovi ani v prípade zániku pôvodnej právnickej osoby alebo podnikateľa. V prípade opakovaného vzniku </w:t>
      </w:r>
      <w:r w:rsidR="00424A2E">
        <w:t xml:space="preserve">podnikateľskej činnosti fyzickej osoby </w:t>
      </w:r>
      <w:r w:rsidR="003C7278" w:rsidRPr="000D6614">
        <w:t xml:space="preserve">je </w:t>
      </w:r>
      <w:r w:rsidR="00424A2E">
        <w:t>jej</w:t>
      </w:r>
      <w:r w:rsidR="003C7278" w:rsidRPr="000D6614">
        <w:t xml:space="preserve"> pridelené rovnaké IPO,</w:t>
      </w:r>
    </w:p>
    <w:p w14:paraId="153004BA" w14:textId="1332C929" w:rsidR="003C7278" w:rsidRPr="000D6614" w:rsidRDefault="003C7278" w:rsidP="003C7278">
      <w:pPr>
        <w:numPr>
          <w:ilvl w:val="0"/>
          <w:numId w:val="5"/>
        </w:numPr>
        <w:ind w:left="709" w:hanging="349"/>
      </w:pPr>
      <w:r w:rsidRPr="000D6614">
        <w:t>IPO obsahuje mechanizmus kon</w:t>
      </w:r>
      <w:r w:rsidR="00BC7936">
        <w:t>troly jeho správnosti (kontrolné číslo</w:t>
      </w:r>
      <w:r w:rsidRPr="000D6614">
        <w:t>),</w:t>
      </w:r>
    </w:p>
    <w:p w14:paraId="6E320924" w14:textId="1CD2099E" w:rsidR="00A4200B" w:rsidRPr="000D6614" w:rsidRDefault="003C7278" w:rsidP="00FE56CC">
      <w:pPr>
        <w:numPr>
          <w:ilvl w:val="0"/>
          <w:numId w:val="5"/>
        </w:numPr>
        <w:ind w:left="709" w:hanging="349"/>
      </w:pPr>
      <w:r w:rsidRPr="001E3FDE">
        <w:t xml:space="preserve">bezvýznamovosť – z IPO nie je možné identifikovať žiadnu charakteristiku </w:t>
      </w:r>
      <w:r w:rsidR="000D6614" w:rsidRPr="001E3FDE">
        <w:t>subjektu</w:t>
      </w:r>
      <w:r w:rsidR="00FE56CC">
        <w:t xml:space="preserve"> (s výnimkou, že </w:t>
      </w:r>
      <w:r w:rsidR="00DF0232">
        <w:t>ide</w:t>
      </w:r>
      <w:r w:rsidR="00FE56CC">
        <w:t xml:space="preserve"> o identifikátor </w:t>
      </w:r>
      <w:r w:rsidR="00DF0232" w:rsidRPr="00981891">
        <w:t>organizačn</w:t>
      </w:r>
      <w:r w:rsidR="00DF0232">
        <w:t>ej</w:t>
      </w:r>
      <w:r w:rsidR="00DF0232" w:rsidRPr="00981891">
        <w:t xml:space="preserve"> zložk</w:t>
      </w:r>
      <w:r w:rsidR="00DF0232">
        <w:t>y</w:t>
      </w:r>
      <w:r w:rsidR="00DF0232" w:rsidRPr="00981891">
        <w:t xml:space="preserve"> bez právnej subjektivity zriaden</w:t>
      </w:r>
      <w:r w:rsidR="00DF0232">
        <w:t>ej</w:t>
      </w:r>
      <w:r w:rsidR="00DF0232" w:rsidRPr="00981891">
        <w:t xml:space="preserve"> právnickou osobou alebo podnikateľom</w:t>
      </w:r>
      <w:r w:rsidR="00FE56CC">
        <w:t>)</w:t>
      </w:r>
      <w:r w:rsidR="00A4200B" w:rsidRPr="000D6614">
        <w:t>,</w:t>
      </w:r>
    </w:p>
    <w:p w14:paraId="1095A56A" w14:textId="77777777" w:rsidR="003C7278" w:rsidRDefault="00A4200B" w:rsidP="003C7278">
      <w:pPr>
        <w:numPr>
          <w:ilvl w:val="0"/>
          <w:numId w:val="5"/>
        </w:numPr>
        <w:ind w:left="709" w:hanging="349"/>
      </w:pPr>
      <w:r w:rsidRPr="000D6614">
        <w:t>po zavedení IPO bude ukončené používanie IČO</w:t>
      </w:r>
      <w:r w:rsidR="00424A2E">
        <w:t xml:space="preserve"> (po ukončení stanoveného prechodného obdobia)</w:t>
      </w:r>
      <w:r w:rsidRPr="000D6614">
        <w:t>.</w:t>
      </w:r>
      <w:r w:rsidR="003C7278" w:rsidRPr="000D6614">
        <w:t xml:space="preserve"> </w:t>
      </w:r>
    </w:p>
    <w:p w14:paraId="15B06D3A" w14:textId="3A646E08" w:rsidR="006B4D3E" w:rsidRDefault="006B4D3E" w:rsidP="007426CE">
      <w:pPr>
        <w:pStyle w:val="Nadpis1"/>
      </w:pPr>
      <w:bookmarkStart w:id="8" w:name="_Toc399517894"/>
      <w:r>
        <w:lastRenderedPageBreak/>
        <w:t>Alternatívy riešenia</w:t>
      </w:r>
      <w:bookmarkEnd w:id="8"/>
    </w:p>
    <w:p w14:paraId="2C5B01E5" w14:textId="4DA627F5" w:rsidR="006B4D3E" w:rsidRDefault="006B4D3E" w:rsidP="006B4D3E">
      <w:r>
        <w:t xml:space="preserve">Vytvorenie a zavedenie IPO je možné realizovať viacerými prístupmi. Jednotlivé prístupy majú výhody ako aj nevýhody z pohľadu realizovateľnosti vzhľadom na existenciu východiskového stavu. Z pohľadu výberu vhodnej alternatívy riešenia najvýznamnejšie </w:t>
      </w:r>
      <w:r w:rsidR="005E1F52">
        <w:t>skutočnosti</w:t>
      </w:r>
      <w:r>
        <w:t>, ktoré ovplyvnia realizovateľnosť a akceptovateľnosť IPO sú:</w:t>
      </w:r>
    </w:p>
    <w:p w14:paraId="3C1C0D20" w14:textId="66B87F9F" w:rsidR="00B64CBA" w:rsidRDefault="001B5A6F" w:rsidP="00FF0BBB">
      <w:pPr>
        <w:numPr>
          <w:ilvl w:val="0"/>
          <w:numId w:val="5"/>
        </w:numPr>
        <w:ind w:left="709" w:hanging="349"/>
      </w:pPr>
      <w:r>
        <w:t>p</w:t>
      </w:r>
      <w:r w:rsidR="00B64CBA">
        <w:t>otreba zabezpečiť plynulý prechod na IPO tak na strane registrovaných subjektov, ako aj na strane orgánov verenej moci, ktoré vo svojich informačných systémoch používajú</w:t>
      </w:r>
      <w:r w:rsidR="001B15B8">
        <w:t xml:space="preserve"> IČO a prípadne aj osobitný identifikátor</w:t>
      </w:r>
      <w:r w:rsidR="00B64CBA">
        <w:t>,</w:t>
      </w:r>
    </w:p>
    <w:p w14:paraId="6E092900" w14:textId="6B5081DA" w:rsidR="00B64CBA" w:rsidRDefault="001B5A6F" w:rsidP="00FF0BBB">
      <w:pPr>
        <w:numPr>
          <w:ilvl w:val="0"/>
          <w:numId w:val="5"/>
        </w:numPr>
        <w:ind w:left="709" w:hanging="349"/>
      </w:pPr>
      <w:r>
        <w:t>p</w:t>
      </w:r>
      <w:r w:rsidR="00B64CBA">
        <w:t xml:space="preserve">otreba vykonať zmenu </w:t>
      </w:r>
      <w:r w:rsidR="00A01882">
        <w:t>s nízkym</w:t>
      </w:r>
      <w:r w:rsidR="00B64CBA">
        <w:t xml:space="preserve"> </w:t>
      </w:r>
      <w:r w:rsidR="00F40EA9">
        <w:t>finančn</w:t>
      </w:r>
      <w:r w:rsidR="00A01882">
        <w:t>ým</w:t>
      </w:r>
      <w:r w:rsidR="00F40EA9">
        <w:t xml:space="preserve"> a in</w:t>
      </w:r>
      <w:r w:rsidR="00A01882">
        <w:t>ým</w:t>
      </w:r>
      <w:r w:rsidR="00F40EA9">
        <w:t xml:space="preserve"> administratívn</w:t>
      </w:r>
      <w:r w:rsidR="00A01882">
        <w:t>ym</w:t>
      </w:r>
      <w:r w:rsidR="00F40EA9">
        <w:t xml:space="preserve"> </w:t>
      </w:r>
      <w:r w:rsidR="001B15B8">
        <w:t>zaťaže</w:t>
      </w:r>
      <w:r w:rsidR="00A01882">
        <w:t>ním</w:t>
      </w:r>
      <w:r w:rsidR="001B15B8">
        <w:t xml:space="preserve"> </w:t>
      </w:r>
      <w:r w:rsidR="00B64CBA">
        <w:t>verejn</w:t>
      </w:r>
      <w:r w:rsidR="001B15B8">
        <w:t>ej</w:t>
      </w:r>
      <w:r w:rsidR="00B64CBA">
        <w:t xml:space="preserve"> a súkromn</w:t>
      </w:r>
      <w:r w:rsidR="001B15B8">
        <w:t>ej</w:t>
      </w:r>
      <w:r w:rsidR="00B64CBA">
        <w:t xml:space="preserve"> sfér</w:t>
      </w:r>
      <w:r w:rsidR="001B15B8">
        <w:t>y</w:t>
      </w:r>
      <w:r w:rsidR="00B64CBA">
        <w:t xml:space="preserve">      </w:t>
      </w:r>
    </w:p>
    <w:p w14:paraId="4C67F7CB" w14:textId="2DA957B0" w:rsidR="006B4D3E" w:rsidRDefault="005E1F52" w:rsidP="00FF0BBB">
      <w:pPr>
        <w:numPr>
          <w:ilvl w:val="0"/>
          <w:numId w:val="5"/>
        </w:numPr>
        <w:ind w:left="709" w:hanging="349"/>
      </w:pPr>
      <w:r>
        <w:t>spôsob stanovenia hodnoty</w:t>
      </w:r>
      <w:r w:rsidR="006B4D3E">
        <w:t xml:space="preserve"> IPO</w:t>
      </w:r>
      <w:r w:rsidR="00FF0BBB">
        <w:t>,</w:t>
      </w:r>
    </w:p>
    <w:p w14:paraId="36D458B6" w14:textId="4AEA22EB" w:rsidR="00EF603B" w:rsidRDefault="006B4D3E" w:rsidP="004D091A">
      <w:pPr>
        <w:numPr>
          <w:ilvl w:val="0"/>
          <w:numId w:val="5"/>
        </w:numPr>
        <w:ind w:left="709" w:hanging="349"/>
      </w:pPr>
      <w:r>
        <w:t xml:space="preserve">spôsob zavedenia </w:t>
      </w:r>
      <w:r w:rsidR="00E63F69">
        <w:t xml:space="preserve">a </w:t>
      </w:r>
      <w:r w:rsidR="00EF603B">
        <w:t>podpora používania IPO.</w:t>
      </w:r>
    </w:p>
    <w:p w14:paraId="0DD07519" w14:textId="6D8B2566" w:rsidR="006B4D3E" w:rsidRPr="006B4D3E" w:rsidRDefault="00FF0BBB" w:rsidP="006B4D3E">
      <w:r>
        <w:t xml:space="preserve">V nasledujúcich kapitolách sú uvedené </w:t>
      </w:r>
      <w:r w:rsidR="00433B6E">
        <w:t>možné</w:t>
      </w:r>
      <w:r>
        <w:t xml:space="preserve"> </w:t>
      </w:r>
      <w:r w:rsidR="00433B6E">
        <w:t>prístupy</w:t>
      </w:r>
      <w:r>
        <w:t xml:space="preserve"> ako aj ich dopad. </w:t>
      </w:r>
    </w:p>
    <w:p w14:paraId="66C93CE6" w14:textId="7B72F908" w:rsidR="007426CE" w:rsidRPr="000D6614" w:rsidRDefault="005E1F52" w:rsidP="00FF0BBB">
      <w:pPr>
        <w:pStyle w:val="Nadpis2"/>
        <w:tabs>
          <w:tab w:val="left" w:pos="431"/>
        </w:tabs>
        <w:ind w:left="578" w:hanging="578"/>
      </w:pPr>
      <w:bookmarkStart w:id="9" w:name="_Ref396214277"/>
      <w:bookmarkStart w:id="10" w:name="_Toc399517895"/>
      <w:r>
        <w:t>Spôsob stanovenia hodnoty</w:t>
      </w:r>
      <w:r w:rsidR="00A4200B" w:rsidRPr="000D6614">
        <w:t xml:space="preserve"> IPO</w:t>
      </w:r>
      <w:bookmarkEnd w:id="9"/>
      <w:bookmarkEnd w:id="10"/>
    </w:p>
    <w:p w14:paraId="51322B7B" w14:textId="1D26BEB4" w:rsidR="00A4200B" w:rsidRPr="000D6614" w:rsidRDefault="005E1F52" w:rsidP="007426CE">
      <w:r>
        <w:t xml:space="preserve">Spôsob stanovenia hodnoty IPO pre jednotlivé subjekty vplýva na vlastnosti IPO a možnosti naplniť </w:t>
      </w:r>
      <w:r w:rsidR="00A4200B" w:rsidRPr="000D6614">
        <w:t>požiadavky</w:t>
      </w:r>
      <w:r>
        <w:t xml:space="preserve">, </w:t>
      </w:r>
      <w:r w:rsidRPr="00137DD8">
        <w:t>ktoré sú na IPO kladené.</w:t>
      </w:r>
      <w:r w:rsidR="006866DF" w:rsidRPr="00137DD8">
        <w:t xml:space="preserve"> </w:t>
      </w:r>
      <w:r w:rsidR="00137DD8" w:rsidRPr="00137DD8">
        <w:t>Vlastnosti IPO v</w:t>
      </w:r>
      <w:r w:rsidR="006866DF" w:rsidRPr="00137DD8">
        <w:t xml:space="preserve">ýznamne </w:t>
      </w:r>
      <w:r w:rsidRPr="00137DD8">
        <w:t xml:space="preserve"> ovplyvn</w:t>
      </w:r>
      <w:r w:rsidR="00137DD8" w:rsidRPr="00137DD8">
        <w:t xml:space="preserve">ia </w:t>
      </w:r>
      <w:r w:rsidR="0096703B">
        <w:t xml:space="preserve">možnosti a úroveň </w:t>
      </w:r>
      <w:r w:rsidR="006866DF" w:rsidRPr="00137DD8">
        <w:t xml:space="preserve"> </w:t>
      </w:r>
      <w:r w:rsidR="00137DD8" w:rsidRPr="00137DD8">
        <w:t xml:space="preserve">jeho </w:t>
      </w:r>
      <w:r w:rsidR="006866DF" w:rsidRPr="00137DD8">
        <w:t>použ</w:t>
      </w:r>
      <w:r w:rsidR="0096703B">
        <w:t xml:space="preserve">itia </w:t>
      </w:r>
      <w:r w:rsidR="006866DF" w:rsidRPr="00137DD8">
        <w:t xml:space="preserve"> a vzhľadom na rozšírenosť využívania </w:t>
      </w:r>
      <w:r w:rsidR="00137DD8" w:rsidRPr="00137DD8">
        <w:t xml:space="preserve">identifikátora </w:t>
      </w:r>
      <w:r w:rsidR="006866DF" w:rsidRPr="00137DD8">
        <w:t xml:space="preserve">sa </w:t>
      </w:r>
      <w:r w:rsidR="00137DD8" w:rsidRPr="00137DD8">
        <w:t xml:space="preserve">to </w:t>
      </w:r>
      <w:r w:rsidR="006866DF" w:rsidRPr="00137DD8">
        <w:t xml:space="preserve">dotkne všetkých subjektov. Preto je nutné vybrať formát IPO a spôsob jeho zavedenia tak, aby dopady na spoločnosť boli primerané prínosu </w:t>
      </w:r>
      <w:r w:rsidR="00137DD8" w:rsidRPr="00137DD8">
        <w:t>jeho zavedenia</w:t>
      </w:r>
      <w:r w:rsidR="006866DF" w:rsidRPr="00137DD8">
        <w:t>.</w:t>
      </w:r>
      <w:r w:rsidR="006866DF" w:rsidRPr="000D6614">
        <w:t xml:space="preserve"> </w:t>
      </w:r>
    </w:p>
    <w:p w14:paraId="48461CFB" w14:textId="0CCB13EF" w:rsidR="00EF6910" w:rsidRDefault="00EF6910" w:rsidP="007426CE">
      <w:r>
        <w:t xml:space="preserve">Všeobecne je možné alternatívy </w:t>
      </w:r>
      <w:r w:rsidR="00137DD8">
        <w:t xml:space="preserve">spôsobu stanovenia hodnoty </w:t>
      </w:r>
      <w:r>
        <w:t>IPO rozdeliť podľa ich vzťahu k</w:t>
      </w:r>
      <w:r w:rsidR="0096703B">
        <w:t xml:space="preserve"> súčasným </w:t>
      </w:r>
      <w:r w:rsidR="00137DD8">
        <w:t>hodnotám</w:t>
      </w:r>
      <w:r>
        <w:t xml:space="preserve"> IČO</w:t>
      </w:r>
      <w:r w:rsidR="00137DD8">
        <w:t xml:space="preserve"> </w:t>
      </w:r>
      <w:r w:rsidR="00F40EA9">
        <w:t>a k hodnotám osobitného identifikátora</w:t>
      </w:r>
      <w:r w:rsidR="00105D69">
        <w:t>.</w:t>
      </w:r>
      <w:r w:rsidR="00F40EA9">
        <w:t xml:space="preserve"> </w:t>
      </w:r>
      <w:r w:rsidR="00B431F4">
        <w:t xml:space="preserve">Ide </w:t>
      </w:r>
      <w:r>
        <w:t xml:space="preserve">o dopad na zmenu hodnôt IPO voči IČO </w:t>
      </w:r>
      <w:r w:rsidR="001B15B8">
        <w:t>a osobitnému identifikáto</w:t>
      </w:r>
      <w:r w:rsidR="006B0430">
        <w:t>r</w:t>
      </w:r>
      <w:r w:rsidR="001B15B8">
        <w:t xml:space="preserve">u, </w:t>
      </w:r>
      <w:r>
        <w:t xml:space="preserve">t.j. skutočnosti nakoľko </w:t>
      </w:r>
      <w:r w:rsidR="003C34F4">
        <w:t xml:space="preserve">budú odlišné hodnoty IPO jednotlivých subjektov voči </w:t>
      </w:r>
      <w:r w:rsidR="00665ABE">
        <w:t xml:space="preserve">hodnotám ich </w:t>
      </w:r>
      <w:r w:rsidR="003C34F4">
        <w:t xml:space="preserve"> </w:t>
      </w:r>
      <w:r w:rsidR="001B15B8">
        <w:t>súčasný</w:t>
      </w:r>
      <w:r w:rsidR="00665ABE">
        <w:t>ch identifikátorov</w:t>
      </w:r>
      <w:r w:rsidR="001B15B8">
        <w:t xml:space="preserve">. </w:t>
      </w:r>
      <w:r w:rsidR="003C34F4">
        <w:t xml:space="preserve"> </w:t>
      </w:r>
    </w:p>
    <w:p w14:paraId="427A5F6E" w14:textId="3D86EAA6" w:rsidR="003C34F4" w:rsidRDefault="003C34F4" w:rsidP="007426CE">
      <w:r>
        <w:t>Hlavn</w:t>
      </w:r>
      <w:r w:rsidR="00A46E8F">
        <w:t xml:space="preserve">é rozdelenie medzi možnými spôsobmi stanovenia hodnoty IPO </w:t>
      </w:r>
      <w:r>
        <w:t>v</w:t>
      </w:r>
      <w:r w:rsidR="00A46E8F">
        <w:t>y</w:t>
      </w:r>
      <w:r>
        <w:t xml:space="preserve">plýva </w:t>
      </w:r>
      <w:r w:rsidR="00A46E8F">
        <w:t>z </w:t>
      </w:r>
      <w:r>
        <w:t>rozhodnuti</w:t>
      </w:r>
      <w:r w:rsidR="00A46E8F">
        <w:t>a či hodnota IPO jednotlivých subjektov bude</w:t>
      </w:r>
      <w:r w:rsidR="00817BC0">
        <w:t xml:space="preserve"> obsahovať presne hodnotu </w:t>
      </w:r>
      <w:r w:rsidR="00A46E8F">
        <w:t>IČO</w:t>
      </w:r>
      <w:r w:rsidR="00817BC0">
        <w:t xml:space="preserve"> alebo hodnota IPO bude odlišná</w:t>
      </w:r>
      <w:r w:rsidR="00A46E8F">
        <w:t>.</w:t>
      </w:r>
      <w:r>
        <w:t xml:space="preserve"> </w:t>
      </w:r>
    </w:p>
    <w:p w14:paraId="6EE8FB07" w14:textId="41E06082" w:rsidR="003C34F4" w:rsidRDefault="003C34F4" w:rsidP="007426CE">
      <w:r>
        <w:t xml:space="preserve">V prípade rozhodnutia </w:t>
      </w:r>
      <w:r w:rsidR="00817BC0">
        <w:t xml:space="preserve">o možnej </w:t>
      </w:r>
      <w:r>
        <w:t xml:space="preserve">zmene hodnôt </w:t>
      </w:r>
      <w:r w:rsidR="00E8190B">
        <w:t xml:space="preserve">IPO voči </w:t>
      </w:r>
      <w:r>
        <w:t>IČO</w:t>
      </w:r>
      <w:r w:rsidR="00817BC0">
        <w:t xml:space="preserve"> (8 znakov)</w:t>
      </w:r>
      <w:r>
        <w:t xml:space="preserve"> je významným rozlíšením alternatív skutočnosť nakoľko je možné hodnoty IČO a IPO vzájomne odvodiť t.j. či odvodenie je na základe jednoznačného postupu alebo je nutné vyhľadanie príslušných údajov v konverznej tabuľke.</w:t>
      </w:r>
    </w:p>
    <w:p w14:paraId="737C5B75" w14:textId="32B74F85" w:rsidR="00E8190B" w:rsidRDefault="00E8190B" w:rsidP="007426CE">
      <w:r>
        <w:t xml:space="preserve">Možné spôsoby stanovenia hodnoty IPO sú uvedené na nasledujúcom obrázku. Niektoré z uvedených spôsobov je možné aj ďalej rozdeliť avšak z pohľadu posúdenia </w:t>
      </w:r>
      <w:r>
        <w:lastRenderedPageBreak/>
        <w:t xml:space="preserve">dopadov sa javí postačujúce posúdenie </w:t>
      </w:r>
      <w:r w:rsidR="0065263C">
        <w:t>takýchto spôsobov spoločne na popísanej</w:t>
      </w:r>
      <w:r>
        <w:t xml:space="preserve"> </w:t>
      </w:r>
      <w:r w:rsidR="0065263C">
        <w:t xml:space="preserve">úrovni. </w:t>
      </w:r>
    </w:p>
    <w:p w14:paraId="77B6E05C" w14:textId="207F0022" w:rsidR="00E8190B" w:rsidRDefault="00F67283" w:rsidP="007426CE">
      <w:r w:rsidRPr="00F67283">
        <w:rPr>
          <w:noProof/>
          <w:lang w:eastAsia="sk-SK"/>
        </w:rPr>
        <w:drawing>
          <wp:inline distT="0" distB="0" distL="0" distR="0" wp14:anchorId="71F79F8D" wp14:editId="1BFB8FC4">
            <wp:extent cx="5731510" cy="1030957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471D4" w14:textId="2F67E503" w:rsidR="00984E54" w:rsidRDefault="00984E54" w:rsidP="00984E54">
      <w:pPr>
        <w:pStyle w:val="Popis"/>
      </w:pPr>
      <w:r>
        <w:t xml:space="preserve">Obrázok </w:t>
      </w:r>
      <w:r w:rsidR="00562B36">
        <w:fldChar w:fldCharType="begin"/>
      </w:r>
      <w:r w:rsidR="00562B36">
        <w:instrText xml:space="preserve"> SEQ Obrázok \* ARABIC </w:instrText>
      </w:r>
      <w:r w:rsidR="00562B36">
        <w:fldChar w:fldCharType="separate"/>
      </w:r>
      <w:r w:rsidR="00004328">
        <w:rPr>
          <w:noProof/>
        </w:rPr>
        <w:t>1</w:t>
      </w:r>
      <w:r w:rsidR="00562B36">
        <w:rPr>
          <w:noProof/>
        </w:rPr>
        <w:fldChar w:fldCharType="end"/>
      </w:r>
      <w:r>
        <w:t>: Spôsob stanovenia hodnoty IPO</w:t>
      </w:r>
    </w:p>
    <w:p w14:paraId="63AF1688" w14:textId="74A498AA" w:rsidR="003C34F4" w:rsidRDefault="003C34F4" w:rsidP="007426CE">
      <w:r>
        <w:t xml:space="preserve">Jednotlivé </w:t>
      </w:r>
      <w:r w:rsidR="0065263C">
        <w:t xml:space="preserve">spôsoby stanovenia hodnoty IPO sú </w:t>
      </w:r>
      <w:r>
        <w:t>uvedené v nasledujúcich kapitolách.</w:t>
      </w:r>
      <w:r w:rsidR="0006054C">
        <w:t xml:space="preserve"> </w:t>
      </w:r>
      <w:r w:rsidR="00817BC0">
        <w:t xml:space="preserve">Zo spôsobu stanovenia hodnoty IPO vyplývajú jeho vlastnosti. </w:t>
      </w:r>
      <w:r w:rsidR="0006054C">
        <w:t>Pre každ</w:t>
      </w:r>
      <w:r w:rsidR="0065263C">
        <w:t xml:space="preserve">ú </w:t>
      </w:r>
      <w:r w:rsidR="0006054C">
        <w:t xml:space="preserve">alternatívu </w:t>
      </w:r>
      <w:r w:rsidR="00817BC0">
        <w:t xml:space="preserve">spôsobu stanovenia hodnoty IPO </w:t>
      </w:r>
      <w:r w:rsidR="0006054C">
        <w:t xml:space="preserve">sú </w:t>
      </w:r>
      <w:r w:rsidR="001E5C46">
        <w:t>uvedené</w:t>
      </w:r>
      <w:r w:rsidR="0006054C">
        <w:t xml:space="preserve"> nasledujúce vlastnosti IPO</w:t>
      </w:r>
      <w:r w:rsidR="0065263C">
        <w:t>:</w:t>
      </w:r>
    </w:p>
    <w:p w14:paraId="5A16F987" w14:textId="0FB6AFF3" w:rsidR="001E5C46" w:rsidRDefault="001E5C46" w:rsidP="001E5C46">
      <w:pPr>
        <w:numPr>
          <w:ilvl w:val="0"/>
          <w:numId w:val="5"/>
        </w:numPr>
        <w:ind w:left="709" w:hanging="349"/>
      </w:pPr>
      <w:r>
        <w:t>dĺžka – počet znakov IPO</w:t>
      </w:r>
      <w:r w:rsidR="006A74A0">
        <w:t>,</w:t>
      </w:r>
    </w:p>
    <w:p w14:paraId="7A8DB45A" w14:textId="6E88B878" w:rsidR="001E5C46" w:rsidRDefault="001E5C46" w:rsidP="00E75231">
      <w:pPr>
        <w:numPr>
          <w:ilvl w:val="0"/>
          <w:numId w:val="5"/>
        </w:numPr>
        <w:ind w:left="709" w:hanging="349"/>
      </w:pPr>
      <w:r>
        <w:t xml:space="preserve">spôsob stanovenia kontrolného </w:t>
      </w:r>
      <w:r w:rsidR="006A74A0">
        <w:t>čísla</w:t>
      </w:r>
      <w:r>
        <w:t xml:space="preserve"> – postup stanovenia kontrolného </w:t>
      </w:r>
      <w:r w:rsidR="006A74A0">
        <w:t>čísla</w:t>
      </w:r>
      <w:r>
        <w:t xml:space="preserve"> v IPO vzhľadom na postup stanovenia kontrolného </w:t>
      </w:r>
      <w:r w:rsidR="006A74A0">
        <w:t>čísla</w:t>
      </w:r>
      <w:r>
        <w:t xml:space="preserve"> používaný pre IČO</w:t>
      </w:r>
      <w:r w:rsidR="006A74A0">
        <w:t>,</w:t>
      </w:r>
    </w:p>
    <w:p w14:paraId="5AB875DD" w14:textId="3E7E4B62" w:rsidR="001E5C46" w:rsidRDefault="001E5C46" w:rsidP="00FC2E90">
      <w:pPr>
        <w:numPr>
          <w:ilvl w:val="0"/>
          <w:numId w:val="5"/>
        </w:numPr>
        <w:ind w:left="709" w:hanging="349"/>
      </w:pPr>
      <w:r>
        <w:t>spôsob určenia typu subjektu</w:t>
      </w:r>
      <w:r w:rsidR="00FC2E90">
        <w:t xml:space="preserve"> </w:t>
      </w:r>
      <w:r w:rsidR="00FC2E90" w:rsidRPr="00FC2E90">
        <w:t xml:space="preserve">z hľadiska jeho právneho postavenia </w:t>
      </w:r>
      <w:r>
        <w:t xml:space="preserve"> – možnosť identifikovania či IPO patrí subjektu s  právnou subjektivitou</w:t>
      </w:r>
      <w:r w:rsidR="006B0430">
        <w:t xml:space="preserve"> alebo bez nej</w:t>
      </w:r>
      <w:r w:rsidR="006A74A0">
        <w:t>,</w:t>
      </w:r>
    </w:p>
    <w:p w14:paraId="718E852F" w14:textId="06CC8846" w:rsidR="001E5C46" w:rsidRDefault="001E5C46" w:rsidP="002F1C14">
      <w:pPr>
        <w:numPr>
          <w:ilvl w:val="0"/>
          <w:numId w:val="5"/>
        </w:numPr>
        <w:ind w:left="709" w:hanging="349"/>
      </w:pPr>
      <w:r>
        <w:t>spôsob určenia vzťahu medzi subjektmi – postup</w:t>
      </w:r>
      <w:r w:rsidR="006A74A0">
        <w:t>,</w:t>
      </w:r>
      <w:r>
        <w:t xml:space="preserve"> ktorým je možné identifikovať pre subjekt </w:t>
      </w:r>
      <w:r w:rsidR="006B0430">
        <w:t>bez právnej subjektivity</w:t>
      </w:r>
      <w:r>
        <w:t xml:space="preserve"> </w:t>
      </w:r>
      <w:r w:rsidR="002F1C14">
        <w:t xml:space="preserve">spoločnosť, ktorej je </w:t>
      </w:r>
      <w:r w:rsidR="00FC2E90">
        <w:t xml:space="preserve">organizačnou zložkou </w:t>
      </w:r>
      <w:r w:rsidR="002F1C14">
        <w:t xml:space="preserve">(ďalej len </w:t>
      </w:r>
      <w:r>
        <w:t>matersk</w:t>
      </w:r>
      <w:r w:rsidR="002F1C14">
        <w:t>á</w:t>
      </w:r>
      <w:r>
        <w:t xml:space="preserve"> spoločnosť</w:t>
      </w:r>
      <w:r w:rsidR="002F1C14">
        <w:t>)</w:t>
      </w:r>
      <w:r w:rsidR="006A74A0">
        <w:t>,</w:t>
      </w:r>
      <w:r>
        <w:t xml:space="preserve"> </w:t>
      </w:r>
    </w:p>
    <w:p w14:paraId="03985D7B" w14:textId="5C548F3F" w:rsidR="001E5C46" w:rsidRDefault="001E5C46" w:rsidP="001E5C46">
      <w:pPr>
        <w:numPr>
          <w:ilvl w:val="0"/>
          <w:numId w:val="5"/>
        </w:numPr>
        <w:ind w:left="709" w:hanging="349"/>
      </w:pPr>
      <w:r>
        <w:t>hodnota vzhľadom na IČO (8 znakov) – spôsob akým je možné z hodnoty IPO určiť IČO</w:t>
      </w:r>
      <w:r w:rsidR="006A74A0">
        <w:t>,</w:t>
      </w:r>
      <w:r>
        <w:t xml:space="preserve"> </w:t>
      </w:r>
    </w:p>
    <w:p w14:paraId="0746DF79" w14:textId="4F176BC8" w:rsidR="001E5C46" w:rsidRDefault="001E5C46" w:rsidP="001E5C46">
      <w:pPr>
        <w:numPr>
          <w:ilvl w:val="0"/>
          <w:numId w:val="5"/>
        </w:numPr>
        <w:ind w:left="709" w:hanging="349"/>
      </w:pPr>
      <w:r>
        <w:t>hodnota vzhľadom na rozšírenie IČO – spôsob akým je možné z hodnoty IPO určiť rozšírenie IČO</w:t>
      </w:r>
      <w:r w:rsidR="006A74A0">
        <w:t>.</w:t>
      </w:r>
    </w:p>
    <w:p w14:paraId="1F5E1211" w14:textId="3D416701" w:rsidR="00A72885" w:rsidRDefault="00A72885" w:rsidP="00A72885">
      <w:r>
        <w:t xml:space="preserve">Zavedenie IPO predstavuje vhodnú príležitosť pre vyriešenie </w:t>
      </w:r>
      <w:r w:rsidRPr="00A72885">
        <w:t>existujúcich duplicít IČO v obchodnom registri</w:t>
      </w:r>
      <w:r>
        <w:t>. Táto činnosť však priamo nepodmieňuje zavedenie IPO a je v kompetencii príslušného registrátora.</w:t>
      </w:r>
    </w:p>
    <w:p w14:paraId="1BDB0BB5" w14:textId="26331A8C" w:rsidR="00271321" w:rsidRDefault="00271321" w:rsidP="00ED444F">
      <w:pPr>
        <w:pStyle w:val="Nadpis3"/>
      </w:pPr>
      <w:r>
        <w:t>Prístup</w:t>
      </w:r>
      <w:r w:rsidR="002F1C14">
        <w:t xml:space="preserve"> 1</w:t>
      </w:r>
    </w:p>
    <w:p w14:paraId="52748BEB" w14:textId="3CC3E8E4" w:rsidR="00271321" w:rsidRDefault="00B52F55" w:rsidP="007426CE">
      <w:r>
        <w:t>A</w:t>
      </w:r>
      <w:r w:rsidR="00271321">
        <w:t>lternatíva vychádza z </w:t>
      </w:r>
      <w:r>
        <w:t>rozhodnutia</w:t>
      </w:r>
      <w:r w:rsidR="00271321">
        <w:t xml:space="preserve">, že hodnoty IPO budú totožné s hodnotami IČO </w:t>
      </w:r>
      <w:r w:rsidR="007A08DB">
        <w:t xml:space="preserve">(8 znakov) </w:t>
      </w:r>
      <w:r w:rsidR="00271321">
        <w:t>a ani prípadné hodnoty rozšírenia IČO nebudú zmenené</w:t>
      </w:r>
      <w:r w:rsidR="00FC2E90" w:rsidRPr="00FC2E90">
        <w:t xml:space="preserve"> t.j hodnoty IPO bud</w:t>
      </w:r>
      <w:r w:rsidR="00FC2E90">
        <w:t>ú</w:t>
      </w:r>
      <w:r w:rsidR="00FC2E90" w:rsidRPr="00FC2E90">
        <w:t xml:space="preserve"> toto</w:t>
      </w:r>
      <w:r w:rsidR="00FC2E90">
        <w:t>ž</w:t>
      </w:r>
      <w:r w:rsidR="00FC2E90" w:rsidRPr="00FC2E90">
        <w:t>n</w:t>
      </w:r>
      <w:r w:rsidR="00FC2E90">
        <w:t>é</w:t>
      </w:r>
      <w:r w:rsidR="00FC2E90" w:rsidRPr="00FC2E90">
        <w:t xml:space="preserve"> s ho</w:t>
      </w:r>
      <w:r w:rsidR="00FC2E90">
        <w:t>d</w:t>
      </w:r>
      <w:r w:rsidR="00FC2E90" w:rsidRPr="00FC2E90">
        <w:t>notou osobitn</w:t>
      </w:r>
      <w:r w:rsidR="00FC2E90">
        <w:t>é</w:t>
      </w:r>
      <w:r w:rsidR="00FC2E90" w:rsidRPr="00FC2E90">
        <w:t>ho identifik</w:t>
      </w:r>
      <w:r w:rsidR="00FC2E90">
        <w:t>á</w:t>
      </w:r>
      <w:r w:rsidR="00FC2E90" w:rsidRPr="00FC2E90">
        <w:t>tora</w:t>
      </w:r>
      <w:r w:rsidR="00271321">
        <w:t>. To znamená, že hodnota identifikátora subjektov zostane nezmenená.</w:t>
      </w:r>
    </w:p>
    <w:p w14:paraId="3B235169" w14:textId="77777777" w:rsidR="0006054C" w:rsidRPr="00644218" w:rsidRDefault="0006054C" w:rsidP="0006054C">
      <w:r w:rsidRPr="00644218">
        <w:t>Spôsob stanovenia hodnoty IPO</w:t>
      </w:r>
    </w:p>
    <w:p w14:paraId="54F70F0C" w14:textId="0034A9AF" w:rsidR="0006054C" w:rsidRPr="00644218" w:rsidRDefault="0006054C" w:rsidP="0006054C">
      <w:pPr>
        <w:numPr>
          <w:ilvl w:val="0"/>
          <w:numId w:val="5"/>
        </w:numPr>
        <w:ind w:left="709" w:hanging="349"/>
      </w:pPr>
      <w:r w:rsidRPr="00644218">
        <w:t xml:space="preserve">hodnoty IPO budú </w:t>
      </w:r>
      <w:r w:rsidR="00644218">
        <w:t xml:space="preserve">rovnaké ako IČO </w:t>
      </w:r>
      <w:r w:rsidR="006B0430">
        <w:t xml:space="preserve"> a rovnaké ako</w:t>
      </w:r>
      <w:r w:rsidR="00FC2E90">
        <w:t xml:space="preserve"> osobitný identifikátor </w:t>
      </w:r>
      <w:r w:rsidR="00644218">
        <w:t>pre všetky prípady t.j. pre subjekty s</w:t>
      </w:r>
      <w:r w:rsidR="006B0430">
        <w:t xml:space="preserve"> právnou subjektivitou a bez nej </w:t>
      </w:r>
      <w:r w:rsidR="00644218">
        <w:t xml:space="preserve"> </w:t>
      </w:r>
    </w:p>
    <w:p w14:paraId="026B7F81" w14:textId="0A96B001" w:rsidR="00271321" w:rsidRDefault="00483844" w:rsidP="007426CE">
      <w:r>
        <w:lastRenderedPageBreak/>
        <w:t>Vlastnosti IPO</w:t>
      </w:r>
    </w:p>
    <w:p w14:paraId="3B195A27" w14:textId="32EF7C17" w:rsidR="00271321" w:rsidRDefault="00271321" w:rsidP="00271321">
      <w:pPr>
        <w:numPr>
          <w:ilvl w:val="0"/>
          <w:numId w:val="5"/>
        </w:numPr>
        <w:ind w:left="709" w:hanging="349"/>
      </w:pPr>
      <w:r>
        <w:t>dĺžka: 8 (</w:t>
      </w:r>
      <w:r w:rsidR="001B46BE">
        <w:t xml:space="preserve">pre </w:t>
      </w:r>
      <w:r w:rsidR="00FC2E90">
        <w:t>subjekty s </w:t>
      </w:r>
      <w:r w:rsidR="001B46BE">
        <w:t>právn</w:t>
      </w:r>
      <w:r w:rsidR="00FC2E90">
        <w:t>ou subjektivitou</w:t>
      </w:r>
      <w:r>
        <w:t>) alebo 12 (pre subjekty</w:t>
      </w:r>
      <w:r w:rsidR="004257DC">
        <w:t xml:space="preserve"> bez právnej subjektivity</w:t>
      </w:r>
      <w:r w:rsidR="001B46BE">
        <w:t>)</w:t>
      </w:r>
      <w:r>
        <w:t xml:space="preserve"> znakov </w:t>
      </w:r>
    </w:p>
    <w:p w14:paraId="4FE366F2" w14:textId="2A592CCE" w:rsidR="00271321" w:rsidRDefault="00EB6F74" w:rsidP="00271321">
      <w:pPr>
        <w:numPr>
          <w:ilvl w:val="0"/>
          <w:numId w:val="5"/>
        </w:numPr>
        <w:ind w:left="709" w:hanging="349"/>
      </w:pPr>
      <w:r>
        <w:t xml:space="preserve">spôsob stanovenia </w:t>
      </w:r>
      <w:r w:rsidR="00271321">
        <w:t>kontroln</w:t>
      </w:r>
      <w:r>
        <w:t xml:space="preserve">ého </w:t>
      </w:r>
      <w:r w:rsidR="006A74A0">
        <w:t>čísla</w:t>
      </w:r>
      <w:r w:rsidR="00271321">
        <w:t xml:space="preserve">: rovnaký ako </w:t>
      </w:r>
      <w:r>
        <w:t>v </w:t>
      </w:r>
      <w:r w:rsidR="00271321">
        <w:t>IČO</w:t>
      </w:r>
    </w:p>
    <w:p w14:paraId="233BD4D2" w14:textId="6B5881B7" w:rsidR="00EB6F74" w:rsidRDefault="00EB6F74" w:rsidP="00271321">
      <w:pPr>
        <w:numPr>
          <w:ilvl w:val="0"/>
          <w:numId w:val="5"/>
        </w:numPr>
        <w:ind w:left="709" w:hanging="349"/>
      </w:pPr>
      <w:r>
        <w:t>spôsob určenia typu subjektu</w:t>
      </w:r>
      <w:r w:rsidR="006B0430">
        <w:t xml:space="preserve"> z hľadiska jeho právneho postavenia</w:t>
      </w:r>
      <w:r>
        <w:t>: z dĺžky IPO</w:t>
      </w:r>
    </w:p>
    <w:p w14:paraId="3D752831" w14:textId="4FA14398" w:rsidR="00EB6F74" w:rsidRDefault="00EB6F74" w:rsidP="00271321">
      <w:pPr>
        <w:numPr>
          <w:ilvl w:val="0"/>
          <w:numId w:val="5"/>
        </w:numPr>
        <w:ind w:left="709" w:hanging="349"/>
      </w:pPr>
      <w:r>
        <w:t xml:space="preserve">spôsob určenia vzťahu medzi subjektmi: z hodnoty </w:t>
      </w:r>
      <w:r w:rsidR="00E56460">
        <w:t xml:space="preserve">prvých 8 číslic </w:t>
      </w:r>
      <w:r>
        <w:t>IPO</w:t>
      </w:r>
    </w:p>
    <w:p w14:paraId="78AB0265" w14:textId="43284DF5" w:rsidR="00EB6F74" w:rsidRDefault="00EB6F74" w:rsidP="00271321">
      <w:pPr>
        <w:numPr>
          <w:ilvl w:val="0"/>
          <w:numId w:val="5"/>
        </w:numPr>
        <w:ind w:left="709" w:hanging="349"/>
      </w:pPr>
      <w:r>
        <w:t>hodnota vzhľadom na  IČO (8 znakov): IČO je súčasťou IPO</w:t>
      </w:r>
    </w:p>
    <w:p w14:paraId="22AA8E3F" w14:textId="71C6C81C" w:rsidR="00271321" w:rsidRDefault="00271321" w:rsidP="00271321">
      <w:pPr>
        <w:numPr>
          <w:ilvl w:val="0"/>
          <w:numId w:val="5"/>
        </w:numPr>
        <w:ind w:left="709" w:hanging="349"/>
      </w:pPr>
      <w:r>
        <w:t xml:space="preserve">hodnota </w:t>
      </w:r>
      <w:r w:rsidR="00EB6F74">
        <w:t xml:space="preserve">vzhľadom na </w:t>
      </w:r>
      <w:r w:rsidR="004257DC">
        <w:t>rozšírenie IČO</w:t>
      </w:r>
      <w:r>
        <w:t xml:space="preserve">: </w:t>
      </w:r>
      <w:r w:rsidR="00905CF2">
        <w:t>rozšírenie IČO</w:t>
      </w:r>
      <w:r w:rsidR="00E56460">
        <w:t xml:space="preserve"> je </w:t>
      </w:r>
      <w:r w:rsidR="00EB6F74">
        <w:t xml:space="preserve"> súčasťou IPO</w:t>
      </w:r>
    </w:p>
    <w:p w14:paraId="28A7EBCC" w14:textId="21705D64" w:rsidR="00271321" w:rsidRDefault="00271321" w:rsidP="007426CE">
      <w:r>
        <w:t>Potrebné činnosti pre realizovateľnosť prístupu</w:t>
      </w:r>
    </w:p>
    <w:p w14:paraId="0056EA8A" w14:textId="19604EFD" w:rsidR="00271321" w:rsidRDefault="00A72885" w:rsidP="00271321">
      <w:pPr>
        <w:numPr>
          <w:ilvl w:val="0"/>
          <w:numId w:val="5"/>
        </w:numPr>
        <w:ind w:left="709" w:hanging="349"/>
      </w:pPr>
      <w:r>
        <w:t>nie sú potrebné činnosti pre zmenu hodnôt IČO ani osobitných identifikátorov</w:t>
      </w:r>
    </w:p>
    <w:p w14:paraId="4D0DBCC9" w14:textId="5959243B" w:rsidR="00271321" w:rsidRDefault="00271321" w:rsidP="007426CE">
      <w:r>
        <w:t>Výhody alternatívy</w:t>
      </w:r>
    </w:p>
    <w:p w14:paraId="3FCA33BF" w14:textId="5E1EA4A0" w:rsidR="00271321" w:rsidRDefault="00271321" w:rsidP="00271321">
      <w:pPr>
        <w:numPr>
          <w:ilvl w:val="0"/>
          <w:numId w:val="5"/>
        </w:numPr>
        <w:ind w:left="709" w:hanging="349"/>
      </w:pPr>
      <w:r w:rsidRPr="000D6614">
        <w:t>minimálny dopad na externé prostredie</w:t>
      </w:r>
      <w:r>
        <w:t xml:space="preserve"> keďže hodnoty identifikátora </w:t>
      </w:r>
      <w:r w:rsidR="0061412D">
        <w:t xml:space="preserve">všetkých </w:t>
      </w:r>
      <w:r w:rsidR="001B46BE">
        <w:t xml:space="preserve">typov </w:t>
      </w:r>
      <w:r>
        <w:t>subjektov zostanú nezmenené</w:t>
      </w:r>
    </w:p>
    <w:p w14:paraId="3696FC48" w14:textId="7E5C8E40" w:rsidR="00271321" w:rsidRDefault="00271321" w:rsidP="007426CE">
      <w:r>
        <w:t>Nevýhody alternatívy</w:t>
      </w:r>
    </w:p>
    <w:p w14:paraId="230AD8F0" w14:textId="40A6212A" w:rsidR="00D943AE" w:rsidRDefault="00D943AE" w:rsidP="00D943AE">
      <w:pPr>
        <w:numPr>
          <w:ilvl w:val="0"/>
          <w:numId w:val="5"/>
        </w:numPr>
        <w:ind w:left="709" w:hanging="349"/>
      </w:pPr>
      <w:r>
        <w:t>existencia viacerých (dvoch) formátov (dĺžky) identifikátora</w:t>
      </w:r>
    </w:p>
    <w:p w14:paraId="441B67DE" w14:textId="4AB6F062" w:rsidR="00E56460" w:rsidRDefault="00243F95" w:rsidP="00D943AE">
      <w:pPr>
        <w:numPr>
          <w:ilvl w:val="0"/>
          <w:numId w:val="5"/>
        </w:numPr>
        <w:ind w:left="709" w:hanging="349"/>
      </w:pPr>
      <w:r>
        <w:t>z</w:t>
      </w:r>
      <w:r w:rsidR="00E56460">
        <w:t xml:space="preserve">mena názvu a akronymu identifikátora, ktoré sa v súčasnosti používajú v oficiálnych listinách vydávaných a potvrdzovaných orgánmi verejnej moci </w:t>
      </w:r>
    </w:p>
    <w:p w14:paraId="0DDDD416" w14:textId="15500B59" w:rsidR="00B52F55" w:rsidRDefault="00B52F55" w:rsidP="00ED444F">
      <w:pPr>
        <w:pStyle w:val="Nadpis3"/>
      </w:pPr>
      <w:r>
        <w:t>Prístup</w:t>
      </w:r>
      <w:r w:rsidR="002F1C14">
        <w:t xml:space="preserve"> 2</w:t>
      </w:r>
    </w:p>
    <w:p w14:paraId="762753A0" w14:textId="7B8F84B6" w:rsidR="00B52F55" w:rsidRDefault="00B52F55" w:rsidP="00B52F55">
      <w:r>
        <w:t>Alternatíva vychádza z</w:t>
      </w:r>
      <w:r w:rsidR="00E67337">
        <w:t> </w:t>
      </w:r>
      <w:r>
        <w:t>rozhodnutia</w:t>
      </w:r>
      <w:r w:rsidR="00E67337">
        <w:t xml:space="preserve">, že hodnoty </w:t>
      </w:r>
      <w:r>
        <w:t>IPO budú totožné s hodnotami IČO</w:t>
      </w:r>
      <w:r w:rsidR="00CA0C48">
        <w:t xml:space="preserve"> (8 znakov)</w:t>
      </w:r>
      <w:r>
        <w:t xml:space="preserve"> avšak bude stanovený nový spôsob </w:t>
      </w:r>
      <w:r w:rsidR="00E67337">
        <w:t xml:space="preserve">konštrukcie </w:t>
      </w:r>
      <w:r>
        <w:t>rozšírenia IČO. Toto bude viesť k zmene identifikátora pre subjekty</w:t>
      </w:r>
      <w:r w:rsidR="00E56460">
        <w:t xml:space="preserve"> bez právnej subjektivity. </w:t>
      </w:r>
      <w:r>
        <w:t xml:space="preserve">Zavedenie nového spôsobu </w:t>
      </w:r>
      <w:r w:rsidR="0012379C">
        <w:t xml:space="preserve">konštrukcie </w:t>
      </w:r>
      <w:r w:rsidR="00E67337">
        <w:t xml:space="preserve">rozšírenia IČO </w:t>
      </w:r>
      <w:r>
        <w:t>umožní napr.:</w:t>
      </w:r>
    </w:p>
    <w:p w14:paraId="2B2DCEE8" w14:textId="6AF585CD" w:rsidR="00B52F55" w:rsidRDefault="00B52F55" w:rsidP="00B52F55">
      <w:pPr>
        <w:numPr>
          <w:ilvl w:val="0"/>
          <w:numId w:val="5"/>
        </w:numPr>
        <w:ind w:left="709" w:hanging="349"/>
      </w:pPr>
      <w:r>
        <w:t>prispôsobiť možný rozsah hodnôt rozšírenia IČO reálnym potrebám,</w:t>
      </w:r>
    </w:p>
    <w:p w14:paraId="757D0AD6" w14:textId="3F627BA0" w:rsidR="00B52F55" w:rsidRDefault="00B52F55" w:rsidP="00B52F55">
      <w:pPr>
        <w:numPr>
          <w:ilvl w:val="0"/>
          <w:numId w:val="5"/>
        </w:numPr>
        <w:ind w:left="709" w:hanging="349"/>
      </w:pPr>
      <w:r>
        <w:t>zaviesť kontrolný mechanizmus do stanovenia hodnôt rozšírenia IČO.</w:t>
      </w:r>
    </w:p>
    <w:p w14:paraId="492E9E86" w14:textId="77777777" w:rsidR="0030600D" w:rsidRPr="00644218" w:rsidRDefault="0030600D" w:rsidP="0030600D">
      <w:r w:rsidRPr="00644218">
        <w:t>Spôsob stanovenia hodnoty IPO</w:t>
      </w:r>
    </w:p>
    <w:p w14:paraId="155F16EF" w14:textId="1CFBAF5E" w:rsidR="0030600D" w:rsidRDefault="0030600D" w:rsidP="0030600D">
      <w:pPr>
        <w:numPr>
          <w:ilvl w:val="0"/>
          <w:numId w:val="5"/>
        </w:numPr>
        <w:ind w:left="709" w:hanging="349"/>
      </w:pPr>
      <w:r>
        <w:t>pre subjekty s  právnou subjektivitou (</w:t>
      </w:r>
      <w:r w:rsidR="001B46BE">
        <w:t xml:space="preserve">súčasné </w:t>
      </w:r>
      <w:r>
        <w:t>subjekty</w:t>
      </w:r>
      <w:r w:rsidR="0012379C">
        <w:t xml:space="preserve"> s</w:t>
      </w:r>
      <w:r w:rsidR="00E67337">
        <w:t> prideleným I</w:t>
      </w:r>
      <w:r w:rsidR="0012379C">
        <w:t>ČO</w:t>
      </w:r>
      <w:r>
        <w:t xml:space="preserve">) </w:t>
      </w:r>
      <w:r w:rsidRPr="00644218">
        <w:t xml:space="preserve">hodnoty IPO budú </w:t>
      </w:r>
      <w:r>
        <w:t>rovnaké ako IČO</w:t>
      </w:r>
    </w:p>
    <w:p w14:paraId="09BA3FCF" w14:textId="22A1C42B" w:rsidR="0030600D" w:rsidRDefault="00456155" w:rsidP="00625AF2">
      <w:pPr>
        <w:numPr>
          <w:ilvl w:val="0"/>
          <w:numId w:val="5"/>
        </w:numPr>
        <w:ind w:left="709" w:hanging="349"/>
      </w:pPr>
      <w:r>
        <w:t xml:space="preserve">pre subjekty </w:t>
      </w:r>
      <w:r w:rsidR="0012379C">
        <w:t>bez</w:t>
      </w:r>
      <w:r>
        <w:t xml:space="preserve"> právn</w:t>
      </w:r>
      <w:r w:rsidR="0012379C">
        <w:t>ej</w:t>
      </w:r>
      <w:r>
        <w:t xml:space="preserve"> subjektivit</w:t>
      </w:r>
      <w:r w:rsidR="0012379C">
        <w:t>y</w:t>
      </w:r>
      <w:r>
        <w:t xml:space="preserve"> (subjekty, ktoré využívajú rozšírenie IČO) </w:t>
      </w:r>
      <w:r w:rsidRPr="00644218">
        <w:t>hodnoty IPO</w:t>
      </w:r>
      <w:r>
        <w:t xml:space="preserve"> budú pozostávať z IČO </w:t>
      </w:r>
      <w:r w:rsidR="008A2062">
        <w:t xml:space="preserve">ich </w:t>
      </w:r>
      <w:r>
        <w:t>matersk</w:t>
      </w:r>
      <w:r w:rsidR="008A2062">
        <w:t>ej</w:t>
      </w:r>
      <w:r>
        <w:t xml:space="preserve"> spoločnos</w:t>
      </w:r>
      <w:r w:rsidR="008A2062">
        <w:t>ti</w:t>
      </w:r>
      <w:r>
        <w:t xml:space="preserve"> a rozšírenia IČO, ktoré bude novo vytvorené</w:t>
      </w:r>
    </w:p>
    <w:p w14:paraId="22A0797A" w14:textId="3D46C5C2" w:rsidR="00B52F55" w:rsidRDefault="00483844" w:rsidP="00B52F55">
      <w:r>
        <w:t>Vlastnosti IPO</w:t>
      </w:r>
    </w:p>
    <w:p w14:paraId="3C38C3DF" w14:textId="627FB923" w:rsidR="00456155" w:rsidRDefault="00456155" w:rsidP="00456155">
      <w:pPr>
        <w:numPr>
          <w:ilvl w:val="0"/>
          <w:numId w:val="5"/>
        </w:numPr>
        <w:ind w:left="709" w:hanging="349"/>
      </w:pPr>
      <w:r>
        <w:lastRenderedPageBreak/>
        <w:t>dĺžka: 8 (</w:t>
      </w:r>
      <w:r w:rsidR="001B46BE">
        <w:t>pre</w:t>
      </w:r>
      <w:r w:rsidR="00E67337">
        <w:t xml:space="preserve"> subjekty s </w:t>
      </w:r>
      <w:r w:rsidR="001B46BE">
        <w:t>právn</w:t>
      </w:r>
      <w:r w:rsidR="00E67337">
        <w:t>ou</w:t>
      </w:r>
      <w:r w:rsidR="001B46BE">
        <w:t xml:space="preserve"> subjekt</w:t>
      </w:r>
      <w:r w:rsidR="00E67337">
        <w:t>ivitou</w:t>
      </w:r>
      <w:r>
        <w:t xml:space="preserve">) alebo viac ako 8 (pre subjekty </w:t>
      </w:r>
      <w:r w:rsidR="00FA02DF">
        <w:t>bez právnej subjektivity</w:t>
      </w:r>
      <w:r>
        <w:t>) znakov</w:t>
      </w:r>
    </w:p>
    <w:p w14:paraId="68BF182D" w14:textId="1AA9157F" w:rsidR="00456155" w:rsidRDefault="00456155" w:rsidP="00456155">
      <w:pPr>
        <w:numPr>
          <w:ilvl w:val="0"/>
          <w:numId w:val="5"/>
        </w:numPr>
        <w:ind w:left="709" w:hanging="349"/>
      </w:pPr>
      <w:r>
        <w:t xml:space="preserve">spôsob stanovenia kontrolného </w:t>
      </w:r>
      <w:r w:rsidR="006A74A0">
        <w:t>čísla</w:t>
      </w:r>
      <w:r>
        <w:t xml:space="preserve">: rovnaký ako v IČO, možnosť zavedenia </w:t>
      </w:r>
      <w:r w:rsidR="008A2062">
        <w:t xml:space="preserve">ďalšieho </w:t>
      </w:r>
      <w:r>
        <w:t xml:space="preserve">kontrolného </w:t>
      </w:r>
      <w:r w:rsidR="006A74A0">
        <w:t>čísla</w:t>
      </w:r>
      <w:r>
        <w:t xml:space="preserve"> pre rozšírenie IČO</w:t>
      </w:r>
    </w:p>
    <w:p w14:paraId="060F7235" w14:textId="436D1D9B" w:rsidR="00456155" w:rsidRDefault="00456155" w:rsidP="00456155">
      <w:pPr>
        <w:numPr>
          <w:ilvl w:val="0"/>
          <w:numId w:val="5"/>
        </w:numPr>
        <w:ind w:left="709" w:hanging="349"/>
      </w:pPr>
      <w:r>
        <w:t>spôsob určenia typu subjektu</w:t>
      </w:r>
      <w:r w:rsidR="00E67337">
        <w:t xml:space="preserve"> z hľadiska jeho právneho postavenia</w:t>
      </w:r>
      <w:r>
        <w:t>: z dĺžky IPO</w:t>
      </w:r>
    </w:p>
    <w:p w14:paraId="199D1866" w14:textId="4876E481" w:rsidR="00456155" w:rsidRDefault="00456155" w:rsidP="00456155">
      <w:pPr>
        <w:numPr>
          <w:ilvl w:val="0"/>
          <w:numId w:val="5"/>
        </w:numPr>
        <w:ind w:left="709" w:hanging="349"/>
      </w:pPr>
      <w:r>
        <w:t xml:space="preserve">spôsob určenia vzťahu medzi subjektmi: z hodnoty </w:t>
      </w:r>
      <w:r w:rsidR="00E67337">
        <w:t>prvých 8 číslic IPO</w:t>
      </w:r>
    </w:p>
    <w:p w14:paraId="3ABDBCEC" w14:textId="77777777" w:rsidR="00456155" w:rsidRDefault="00456155" w:rsidP="00456155">
      <w:pPr>
        <w:numPr>
          <w:ilvl w:val="0"/>
          <w:numId w:val="5"/>
        </w:numPr>
        <w:ind w:left="709" w:hanging="349"/>
      </w:pPr>
      <w:r>
        <w:t>hodnota vzhľadom na  IČO (8 znakov): IČO je súčasťou IPO</w:t>
      </w:r>
    </w:p>
    <w:p w14:paraId="1C058899" w14:textId="3E00CE01" w:rsidR="00456155" w:rsidRDefault="00456155" w:rsidP="00456155">
      <w:pPr>
        <w:numPr>
          <w:ilvl w:val="0"/>
          <w:numId w:val="5"/>
        </w:numPr>
        <w:ind w:left="709" w:hanging="349"/>
      </w:pPr>
      <w:r>
        <w:t>hodnota vzhľadom na rozšírenie IČO: v závislosti od zvolenej metodiky pre vytváranie nových hodnôt rozšírenia IČO</w:t>
      </w:r>
    </w:p>
    <w:p w14:paraId="1FBE79F2" w14:textId="4D0B1CC0" w:rsidR="00B52F55" w:rsidRDefault="00B52F55" w:rsidP="00B52F55">
      <w:r>
        <w:t>Potrebné činnosti pre realizovateľnosť prístupu</w:t>
      </w:r>
    </w:p>
    <w:p w14:paraId="35A0D286" w14:textId="1CAC9991" w:rsidR="00D465DA" w:rsidRDefault="00D465DA" w:rsidP="00B52F55">
      <w:pPr>
        <w:numPr>
          <w:ilvl w:val="0"/>
          <w:numId w:val="5"/>
        </w:numPr>
        <w:ind w:left="709" w:hanging="349"/>
      </w:pPr>
      <w:r>
        <w:t>pridelenie nových hodnôt rozšírenia</w:t>
      </w:r>
      <w:r w:rsidR="00FA02DF">
        <w:t xml:space="preserve"> </w:t>
      </w:r>
      <w:r>
        <w:t>IČO pre subjekty</w:t>
      </w:r>
      <w:r w:rsidR="00D179C7">
        <w:t xml:space="preserve"> </w:t>
      </w:r>
      <w:r w:rsidR="001B4C47">
        <w:t xml:space="preserve">bez </w:t>
      </w:r>
      <w:r w:rsidR="00D179C7">
        <w:t xml:space="preserve"> právn</w:t>
      </w:r>
      <w:r w:rsidR="001B4C47">
        <w:t>ej</w:t>
      </w:r>
      <w:r w:rsidR="00D179C7">
        <w:t xml:space="preserve"> subjektivit</w:t>
      </w:r>
      <w:r w:rsidR="001B4C47">
        <w:t>y</w:t>
      </w:r>
    </w:p>
    <w:p w14:paraId="5B9510B0" w14:textId="50C7C616" w:rsidR="00D465DA" w:rsidRDefault="00D465DA" w:rsidP="00B52F55">
      <w:pPr>
        <w:numPr>
          <w:ilvl w:val="0"/>
          <w:numId w:val="5"/>
        </w:numPr>
        <w:ind w:left="709" w:hanging="349"/>
      </w:pPr>
      <w:r>
        <w:t>zavedenie mechanizmu pre zistenie novej hodnoty rozšírenia IČO (definovaný postup stanovenia hodnoty alebo konverzná tabuľka)</w:t>
      </w:r>
    </w:p>
    <w:p w14:paraId="1333BCC9" w14:textId="2AA668B1" w:rsidR="00B52F55" w:rsidRDefault="00B52F55" w:rsidP="00B52F55">
      <w:r>
        <w:t>Výhody alternatívy</w:t>
      </w:r>
    </w:p>
    <w:p w14:paraId="42DE16C7" w14:textId="63623E4E" w:rsidR="00B52F55" w:rsidRDefault="00D465DA" w:rsidP="00B52F55">
      <w:pPr>
        <w:numPr>
          <w:ilvl w:val="0"/>
          <w:numId w:val="5"/>
        </w:numPr>
        <w:ind w:left="709" w:hanging="349"/>
      </w:pPr>
      <w:r>
        <w:t>nízky</w:t>
      </w:r>
      <w:r w:rsidR="00B52F55" w:rsidRPr="000D6614">
        <w:t xml:space="preserve"> dopad na externé prostredie</w:t>
      </w:r>
      <w:r w:rsidR="00B52F55">
        <w:t xml:space="preserve"> keďže hodnoty</w:t>
      </w:r>
      <w:r>
        <w:t xml:space="preserve"> identifikátora</w:t>
      </w:r>
      <w:r w:rsidR="00B52F55">
        <w:t xml:space="preserve"> </w:t>
      </w:r>
      <w:r>
        <w:t xml:space="preserve">väčšiny </w:t>
      </w:r>
      <w:r w:rsidR="00B52F55">
        <w:t>subjektov zostanú nezmenené</w:t>
      </w:r>
    </w:p>
    <w:p w14:paraId="76BD508B" w14:textId="1BF406BB" w:rsidR="00D465DA" w:rsidRDefault="00D465DA" w:rsidP="00B52F55">
      <w:pPr>
        <w:numPr>
          <w:ilvl w:val="0"/>
          <w:numId w:val="5"/>
        </w:numPr>
        <w:ind w:left="709" w:hanging="349"/>
      </w:pPr>
      <w:r>
        <w:t>prispôsobenie rozšírenia IČO reálnym potrebám a zvýšenie bezpečnosti jeho stanovenia</w:t>
      </w:r>
    </w:p>
    <w:p w14:paraId="5D1CAD21" w14:textId="77777777" w:rsidR="00B52F55" w:rsidRDefault="00B52F55" w:rsidP="00B52F55">
      <w:r>
        <w:t>Nevýhody alternatívy</w:t>
      </w:r>
    </w:p>
    <w:p w14:paraId="302AA6DA" w14:textId="77777777" w:rsidR="00B52F55" w:rsidRDefault="00B52F55" w:rsidP="00B52F55">
      <w:pPr>
        <w:numPr>
          <w:ilvl w:val="0"/>
          <w:numId w:val="5"/>
        </w:numPr>
        <w:ind w:left="709" w:hanging="349"/>
      </w:pPr>
      <w:r>
        <w:t>existencia viacerých (dvoch) formátov (dĺžky) identifikátora</w:t>
      </w:r>
    </w:p>
    <w:p w14:paraId="2C27DC58" w14:textId="7BB2F797" w:rsidR="00D465DA" w:rsidRDefault="00D465DA" w:rsidP="00B52F55">
      <w:pPr>
        <w:numPr>
          <w:ilvl w:val="0"/>
          <w:numId w:val="5"/>
        </w:numPr>
        <w:ind w:left="709" w:hanging="349"/>
      </w:pPr>
      <w:r>
        <w:t>nutnosť vytvorenia mechanizmu pre stanovenie novej hodnoty rozšírenia IČO</w:t>
      </w:r>
    </w:p>
    <w:p w14:paraId="58D6A614" w14:textId="2F2D299E" w:rsidR="00243F95" w:rsidRDefault="00D465DA" w:rsidP="00E75231">
      <w:pPr>
        <w:numPr>
          <w:ilvl w:val="0"/>
          <w:numId w:val="5"/>
        </w:numPr>
        <w:ind w:left="709" w:hanging="349"/>
      </w:pPr>
      <w:r>
        <w:t xml:space="preserve">pridelenie nových hodnôt rozšírenia IČO </w:t>
      </w:r>
      <w:r w:rsidR="00D179C7">
        <w:t xml:space="preserve">pre subjekty </w:t>
      </w:r>
      <w:r w:rsidR="003A5D90">
        <w:t xml:space="preserve">bez </w:t>
      </w:r>
      <w:r w:rsidR="00D179C7">
        <w:t xml:space="preserve"> právn</w:t>
      </w:r>
      <w:r w:rsidR="003A5D90">
        <w:t>ej</w:t>
      </w:r>
      <w:r w:rsidR="00D179C7">
        <w:t xml:space="preserve"> subjektivit</w:t>
      </w:r>
      <w:r w:rsidR="003A5D90">
        <w:t>y</w:t>
      </w:r>
    </w:p>
    <w:p w14:paraId="61971502" w14:textId="77777777" w:rsidR="00243F95" w:rsidRDefault="00243F95" w:rsidP="00243F95">
      <w:pPr>
        <w:numPr>
          <w:ilvl w:val="0"/>
          <w:numId w:val="5"/>
        </w:numPr>
        <w:ind w:left="709" w:hanging="349"/>
      </w:pPr>
      <w:r>
        <w:t xml:space="preserve">zmena názvu a akronymu identifikátora, ktoré sa v súčasnosti používajú v oficiálnych listinách vydávaných a potvrdzovaných orgánmi verejnej moci </w:t>
      </w:r>
    </w:p>
    <w:p w14:paraId="312DFEC0" w14:textId="5361B3C8" w:rsidR="00483844" w:rsidRDefault="00483844" w:rsidP="00ED444F">
      <w:pPr>
        <w:pStyle w:val="Nadpis3"/>
      </w:pPr>
      <w:r>
        <w:t>Prístup</w:t>
      </w:r>
      <w:r w:rsidR="00D179C7">
        <w:t xml:space="preserve"> 3</w:t>
      </w:r>
    </w:p>
    <w:p w14:paraId="4C92D6AE" w14:textId="7E0A2E42" w:rsidR="00483844" w:rsidRDefault="00483844" w:rsidP="00483844">
      <w:r>
        <w:t xml:space="preserve">Alternatíva vychádza z rozhodnutia, že hodnoty IPO budú totožné s hodnotami IČO </w:t>
      </w:r>
      <w:r w:rsidR="00CA0C48">
        <w:t xml:space="preserve">(8 znakov) </w:t>
      </w:r>
      <w:r>
        <w:t>a rozšíreni</w:t>
      </w:r>
      <w:r w:rsidR="00CA0C48">
        <w:t>e</w:t>
      </w:r>
      <w:r>
        <w:t xml:space="preserve"> IČO sa </w:t>
      </w:r>
      <w:r w:rsidR="00354733">
        <w:t>nebude používať</w:t>
      </w:r>
      <w:r>
        <w:t>. Všetky IPO budú rovnakej dĺžky</w:t>
      </w:r>
      <w:r w:rsidR="0075317A">
        <w:t xml:space="preserve"> 8 znakov</w:t>
      </w:r>
      <w:r>
        <w:t>. Pri spôsobe stanovenia IPO pre subjekty, ktoré využívajú rozšírenie IČO</w:t>
      </w:r>
      <w:r w:rsidR="00126BC0">
        <w:t>,</w:t>
      </w:r>
      <w:r>
        <w:t xml:space="preserve"> je možné využiť aj prístup, ktorý umožní identifikovať tento typ subjektu priamo z</w:t>
      </w:r>
      <w:r w:rsidR="00C40898">
        <w:t> </w:t>
      </w:r>
      <w:r>
        <w:t>IPO</w:t>
      </w:r>
      <w:r w:rsidR="00C40898">
        <w:t>,</w:t>
      </w:r>
      <w:r>
        <w:t xml:space="preserve"> ale pre identifikovanie jednoznačného vzťahu s</w:t>
      </w:r>
      <w:r w:rsidR="003A6140">
        <w:t xml:space="preserve"> materskou spoločnosťou </w:t>
      </w:r>
      <w:r w:rsidR="00C40898">
        <w:t xml:space="preserve">je potrebné viesť a sprístupniť pomocnú evidenciu. </w:t>
      </w:r>
    </w:p>
    <w:p w14:paraId="261B261C" w14:textId="77777777" w:rsidR="003A6140" w:rsidRPr="00644218" w:rsidRDefault="003A6140" w:rsidP="003A6140">
      <w:r w:rsidRPr="00644218">
        <w:t>Spôsob stanovenia hodnoty IPO</w:t>
      </w:r>
    </w:p>
    <w:p w14:paraId="7A91C627" w14:textId="1AB2120B" w:rsidR="003A6140" w:rsidRDefault="003A6140" w:rsidP="003A6140">
      <w:pPr>
        <w:numPr>
          <w:ilvl w:val="0"/>
          <w:numId w:val="5"/>
        </w:numPr>
        <w:ind w:left="709" w:hanging="349"/>
      </w:pPr>
      <w:r>
        <w:lastRenderedPageBreak/>
        <w:t xml:space="preserve">pre subjekty s právnou subjektivitou (subjekty, ktoré nevyužívajú rozšírenie IČO) </w:t>
      </w:r>
      <w:r w:rsidRPr="00644218">
        <w:t xml:space="preserve">hodnoty IPO budú </w:t>
      </w:r>
      <w:r>
        <w:t>rovnaké ako IČO</w:t>
      </w:r>
    </w:p>
    <w:p w14:paraId="456BB908" w14:textId="4DD84784" w:rsidR="003A6140" w:rsidRDefault="003A6140" w:rsidP="003A6140">
      <w:pPr>
        <w:numPr>
          <w:ilvl w:val="0"/>
          <w:numId w:val="5"/>
        </w:numPr>
        <w:ind w:left="709" w:hanging="349"/>
      </w:pPr>
      <w:r>
        <w:t xml:space="preserve">pre subjekty </w:t>
      </w:r>
      <w:r w:rsidR="00C96DCD">
        <w:t xml:space="preserve">bez </w:t>
      </w:r>
      <w:r>
        <w:t>právn</w:t>
      </w:r>
      <w:r w:rsidR="00C96DCD">
        <w:t>ej</w:t>
      </w:r>
      <w:r>
        <w:t xml:space="preserve"> subjektivit</w:t>
      </w:r>
      <w:r w:rsidR="00C96DCD">
        <w:t>y</w:t>
      </w:r>
      <w:r>
        <w:t xml:space="preserve"> (subjekty, ktoré využívajú rozšírenie IČO) budú vytvorené nové </w:t>
      </w:r>
      <w:r w:rsidR="00354733">
        <w:t xml:space="preserve">hodnoty </w:t>
      </w:r>
      <w:r>
        <w:t>identifikátor</w:t>
      </w:r>
      <w:r w:rsidR="00354733">
        <w:t>a (IPO)</w:t>
      </w:r>
      <w:r>
        <w:t xml:space="preserve"> s dĺžkou 8 znakov</w:t>
      </w:r>
    </w:p>
    <w:p w14:paraId="38429D44" w14:textId="77777777" w:rsidR="00483844" w:rsidRDefault="00483844" w:rsidP="00483844">
      <w:r>
        <w:t>Vlastnosti IPO</w:t>
      </w:r>
    </w:p>
    <w:p w14:paraId="60802D0E" w14:textId="0045294F" w:rsidR="003A6140" w:rsidRDefault="003A6140" w:rsidP="003A6140">
      <w:pPr>
        <w:numPr>
          <w:ilvl w:val="0"/>
          <w:numId w:val="5"/>
        </w:numPr>
        <w:ind w:left="709" w:hanging="349"/>
      </w:pPr>
      <w:r>
        <w:t>dĺžka: 8 znakov</w:t>
      </w:r>
    </w:p>
    <w:p w14:paraId="41A20CB0" w14:textId="5559ACE4" w:rsidR="003A6140" w:rsidRPr="003A6140" w:rsidRDefault="003A6140" w:rsidP="003A6140">
      <w:pPr>
        <w:numPr>
          <w:ilvl w:val="0"/>
          <w:numId w:val="5"/>
        </w:numPr>
        <w:ind w:left="709" w:hanging="349"/>
      </w:pPr>
      <w:r>
        <w:t xml:space="preserve">spôsob stanovenia kontrolného </w:t>
      </w:r>
      <w:r w:rsidR="006A74A0">
        <w:t>čísla</w:t>
      </w:r>
      <w:r>
        <w:t xml:space="preserve">: </w:t>
      </w:r>
      <w:r w:rsidRPr="003A6140">
        <w:t xml:space="preserve">rovnaký ako </w:t>
      </w:r>
      <w:r w:rsidR="00354733">
        <w:t>v</w:t>
      </w:r>
      <w:r w:rsidR="006A74A0">
        <w:t> </w:t>
      </w:r>
      <w:r w:rsidRPr="003A6140">
        <w:t>IČO</w:t>
      </w:r>
      <w:r w:rsidR="006A74A0">
        <w:t>,</w:t>
      </w:r>
      <w:r w:rsidRPr="003A6140">
        <w:t xml:space="preserve"> prípadne zavedenie iného spôsobu stanovenia kontrolného </w:t>
      </w:r>
      <w:r w:rsidR="006A74A0">
        <w:t>čísla</w:t>
      </w:r>
      <w:r w:rsidRPr="003A6140">
        <w:t xml:space="preserve"> pre subjekty, ktoré pôvodne používali rozšírenie IČO (na základe spôsobu stanovenia kontrolného </w:t>
      </w:r>
      <w:r w:rsidR="006A74A0">
        <w:t>čísla</w:t>
      </w:r>
      <w:r w:rsidRPr="003A6140">
        <w:t xml:space="preserve"> je možné určiť, či sa jedná o subjekt s právnou subjektivitou alebo </w:t>
      </w:r>
      <w:r w:rsidR="008C0AEE">
        <w:t>bez</w:t>
      </w:r>
      <w:r w:rsidRPr="003A6140">
        <w:t xml:space="preserve"> právn</w:t>
      </w:r>
      <w:r w:rsidR="008C0AEE">
        <w:t>ej</w:t>
      </w:r>
      <w:r w:rsidRPr="003A6140">
        <w:t xml:space="preserve"> subjektivit</w:t>
      </w:r>
      <w:r w:rsidR="008C0AEE">
        <w:t>y</w:t>
      </w:r>
      <w:r w:rsidRPr="003A6140">
        <w:t>)</w:t>
      </w:r>
    </w:p>
    <w:p w14:paraId="22B6BA21" w14:textId="11A1FDFE" w:rsidR="003A6140" w:rsidRDefault="003A6140" w:rsidP="003A6140">
      <w:pPr>
        <w:numPr>
          <w:ilvl w:val="0"/>
          <w:numId w:val="5"/>
        </w:numPr>
        <w:ind w:left="709" w:hanging="349"/>
      </w:pPr>
      <w:r>
        <w:t>spôsob určenia typu subjektu</w:t>
      </w:r>
      <w:r w:rsidR="002B21DC">
        <w:t xml:space="preserve"> z hľadiska jeho právneho postavenia</w:t>
      </w:r>
      <w:r>
        <w:t xml:space="preserve">: na základe kontrolného </w:t>
      </w:r>
      <w:r w:rsidR="006A74A0">
        <w:t>čísla</w:t>
      </w:r>
      <w:r>
        <w:t xml:space="preserve"> (ak bude aplikovaný prístup rozdielnych spôsobov stanovenia kontrolného </w:t>
      </w:r>
      <w:r w:rsidR="006A74A0">
        <w:t>čísla</w:t>
      </w:r>
      <w:r>
        <w:t xml:space="preserve"> pre každú skupinu subjektov (pre subjekty s  právnou subjektivitou</w:t>
      </w:r>
      <w:r w:rsidR="008C0AEE">
        <w:t xml:space="preserve"> a subjekty bez právnej subjektivity</w:t>
      </w:r>
      <w:r w:rsidR="00354733">
        <w:t>)</w:t>
      </w:r>
      <w:r>
        <w:t>); v opačnom prípade na základe výskytu záznamov v pomocnej evidencii</w:t>
      </w:r>
    </w:p>
    <w:p w14:paraId="570F586E" w14:textId="495B5E6A" w:rsidR="003A6140" w:rsidRDefault="003A6140" w:rsidP="003A6140">
      <w:pPr>
        <w:numPr>
          <w:ilvl w:val="0"/>
          <w:numId w:val="5"/>
        </w:numPr>
        <w:ind w:left="709" w:hanging="349"/>
      </w:pPr>
      <w:r>
        <w:t>spôsob určenia vzťahu medzi subjektmi: z pomocnej evidencie</w:t>
      </w:r>
    </w:p>
    <w:p w14:paraId="02C06901" w14:textId="39630643" w:rsidR="003A6140" w:rsidRDefault="003A6140" w:rsidP="003A6140">
      <w:pPr>
        <w:numPr>
          <w:ilvl w:val="0"/>
          <w:numId w:val="5"/>
        </w:numPr>
        <w:ind w:left="709" w:hanging="349"/>
      </w:pPr>
      <w:r>
        <w:t xml:space="preserve">hodnota vzhľadom na  IČO (8 znakov): IČO je totožné s IPO pre subjekty s  právnou subjektivitou; pre subjekty </w:t>
      </w:r>
      <w:r w:rsidR="008C0AEE">
        <w:t>bez</w:t>
      </w:r>
      <w:r>
        <w:t xml:space="preserve"> právn</w:t>
      </w:r>
      <w:r w:rsidR="008C0AEE">
        <w:t>ej</w:t>
      </w:r>
      <w:r>
        <w:t xml:space="preserve"> subjektivit</w:t>
      </w:r>
      <w:r w:rsidR="008C0AEE">
        <w:t>y</w:t>
      </w:r>
      <w:r>
        <w:t xml:space="preserve"> je </w:t>
      </w:r>
      <w:r w:rsidR="003F055B">
        <w:t>možné zabezpečiť prevod IPO-IČO len z konverznej tabuľky</w:t>
      </w:r>
    </w:p>
    <w:p w14:paraId="2A88F433" w14:textId="2238D2F0" w:rsidR="003A6140" w:rsidRDefault="003A6140" w:rsidP="003A6140">
      <w:pPr>
        <w:numPr>
          <w:ilvl w:val="0"/>
          <w:numId w:val="5"/>
        </w:numPr>
        <w:ind w:left="709" w:hanging="349"/>
      </w:pPr>
      <w:r>
        <w:t xml:space="preserve">hodnota vzhľadom na rozšírenie IČO: </w:t>
      </w:r>
      <w:r w:rsidR="00354733">
        <w:t>z</w:t>
      </w:r>
      <w:r w:rsidR="003F055B">
        <w:t xml:space="preserve"> konverznej tabuľky </w:t>
      </w:r>
    </w:p>
    <w:p w14:paraId="46E66190" w14:textId="77777777" w:rsidR="00AA100F" w:rsidRDefault="00AA100F" w:rsidP="00AA100F">
      <w:r>
        <w:t>Potrebné činnosti pre realizovateľnosť prístupu</w:t>
      </w:r>
    </w:p>
    <w:p w14:paraId="32A9E5DE" w14:textId="3482D6EF" w:rsidR="00AA100F" w:rsidRDefault="00AA100F" w:rsidP="00AA100F">
      <w:pPr>
        <w:numPr>
          <w:ilvl w:val="0"/>
          <w:numId w:val="5"/>
        </w:numPr>
        <w:ind w:left="709" w:hanging="349"/>
      </w:pPr>
      <w:r>
        <w:t xml:space="preserve">pridelenie nových hodnôt IPO pre subjekty </w:t>
      </w:r>
      <w:r w:rsidR="008C0AEE">
        <w:t>bez</w:t>
      </w:r>
      <w:r>
        <w:t xml:space="preserve"> právn</w:t>
      </w:r>
      <w:r w:rsidR="008C0AEE">
        <w:t>ej</w:t>
      </w:r>
      <w:r>
        <w:t xml:space="preserve"> subjektivit</w:t>
      </w:r>
      <w:r w:rsidR="008C0AEE">
        <w:t>y</w:t>
      </w:r>
      <w:r>
        <w:t xml:space="preserve"> </w:t>
      </w:r>
    </w:p>
    <w:p w14:paraId="3AE43CFB" w14:textId="26F506E0" w:rsidR="00AA100F" w:rsidRDefault="00AA100F" w:rsidP="00AA100F">
      <w:pPr>
        <w:numPr>
          <w:ilvl w:val="0"/>
          <w:numId w:val="5"/>
        </w:numPr>
        <w:ind w:left="709" w:hanging="349"/>
      </w:pPr>
      <w:r>
        <w:t xml:space="preserve">zavedenie a správa evidencie pre vzťah medzi subjektom </w:t>
      </w:r>
      <w:r w:rsidR="008C0AEE">
        <w:t>bez</w:t>
      </w:r>
      <w:r>
        <w:t xml:space="preserve"> právn</w:t>
      </w:r>
      <w:r w:rsidR="008C0AEE">
        <w:t>ej</w:t>
      </w:r>
      <w:r>
        <w:t xml:space="preserve"> subjektivit</w:t>
      </w:r>
      <w:r w:rsidR="008C0AEE">
        <w:t>y</w:t>
      </w:r>
      <w:r>
        <w:t xml:space="preserve"> a</w:t>
      </w:r>
      <w:r w:rsidR="003F055B">
        <w:t> materskou spoločnosťou</w:t>
      </w:r>
    </w:p>
    <w:p w14:paraId="61044006" w14:textId="4AA7DBA9" w:rsidR="00AA100F" w:rsidRDefault="00AA100F" w:rsidP="00AA100F">
      <w:pPr>
        <w:numPr>
          <w:ilvl w:val="0"/>
          <w:numId w:val="5"/>
        </w:numPr>
        <w:ind w:left="709" w:hanging="349"/>
      </w:pPr>
      <w:r>
        <w:t xml:space="preserve">zavedenie mechanizmu pre prevod hodnôt IPO-IČO pre subjekty </w:t>
      </w:r>
      <w:r w:rsidR="008C0AEE">
        <w:t>bez</w:t>
      </w:r>
      <w:r>
        <w:t xml:space="preserve"> právn</w:t>
      </w:r>
      <w:r w:rsidR="008C0AEE">
        <w:t>ej</w:t>
      </w:r>
      <w:r>
        <w:t xml:space="preserve"> subjektivit</w:t>
      </w:r>
      <w:r w:rsidR="008C0AEE">
        <w:t>y</w:t>
      </w:r>
    </w:p>
    <w:p w14:paraId="7B191405" w14:textId="77777777" w:rsidR="00AA100F" w:rsidRDefault="00AA100F" w:rsidP="00AA100F">
      <w:r>
        <w:t>Výhody alternatívy</w:t>
      </w:r>
    </w:p>
    <w:p w14:paraId="0C220EF6" w14:textId="77777777" w:rsidR="00AA100F" w:rsidRDefault="00AA100F" w:rsidP="00AA100F">
      <w:pPr>
        <w:numPr>
          <w:ilvl w:val="0"/>
          <w:numId w:val="5"/>
        </w:numPr>
        <w:ind w:left="709" w:hanging="349"/>
      </w:pPr>
      <w:r>
        <w:t>existencia jednej dĺžky IPO pre všetky subjekty</w:t>
      </w:r>
    </w:p>
    <w:p w14:paraId="11A4B2AF" w14:textId="77777777" w:rsidR="00AA100F" w:rsidRDefault="00AA100F" w:rsidP="00AA100F">
      <w:pPr>
        <w:numPr>
          <w:ilvl w:val="0"/>
          <w:numId w:val="5"/>
        </w:numPr>
        <w:ind w:left="709" w:hanging="349"/>
      </w:pPr>
      <w:r>
        <w:t>nízky</w:t>
      </w:r>
      <w:r w:rsidRPr="000D6614">
        <w:t xml:space="preserve"> dopad na externé prostredie</w:t>
      </w:r>
      <w:r>
        <w:t xml:space="preserve"> keďže hodnoty identifikátora prevažnej väčšiny subjektov zostanú nezmenené</w:t>
      </w:r>
    </w:p>
    <w:p w14:paraId="7667A9B4" w14:textId="77777777" w:rsidR="00AA100F" w:rsidRDefault="00AA100F" w:rsidP="00AA100F">
      <w:r>
        <w:t>Nevýhody alternatívy</w:t>
      </w:r>
    </w:p>
    <w:p w14:paraId="01E65F32" w14:textId="6CF11CFC" w:rsidR="00AA100F" w:rsidRDefault="00AA100F" w:rsidP="00AA100F">
      <w:pPr>
        <w:numPr>
          <w:ilvl w:val="0"/>
          <w:numId w:val="5"/>
        </w:numPr>
        <w:ind w:left="709" w:hanging="349"/>
      </w:pPr>
      <w:r>
        <w:t xml:space="preserve">pridelenie nových hodnôt IPO subjektom </w:t>
      </w:r>
      <w:r w:rsidR="008C0AEE">
        <w:t>bez</w:t>
      </w:r>
      <w:r>
        <w:t xml:space="preserve"> právn</w:t>
      </w:r>
      <w:r w:rsidR="008C0AEE">
        <w:t>ej</w:t>
      </w:r>
      <w:r>
        <w:t xml:space="preserve"> subjektivit</w:t>
      </w:r>
      <w:r w:rsidR="008C0AEE">
        <w:t>y</w:t>
      </w:r>
    </w:p>
    <w:p w14:paraId="7DDEBDED" w14:textId="109902A4" w:rsidR="00AA100F" w:rsidRDefault="00AA100F" w:rsidP="00AA100F">
      <w:pPr>
        <w:numPr>
          <w:ilvl w:val="0"/>
          <w:numId w:val="5"/>
        </w:numPr>
        <w:ind w:left="709" w:hanging="349"/>
      </w:pPr>
      <w:r>
        <w:t xml:space="preserve">vedenie a sprístupnenie samostatnej evidencie pre vzťah medzi subjektom </w:t>
      </w:r>
      <w:r w:rsidR="008C0AEE">
        <w:t>bez</w:t>
      </w:r>
      <w:r>
        <w:t xml:space="preserve"> právn</w:t>
      </w:r>
      <w:r w:rsidR="008C0AEE">
        <w:t>ej</w:t>
      </w:r>
      <w:r>
        <w:t xml:space="preserve"> subjektivit</w:t>
      </w:r>
      <w:r w:rsidR="008C0AEE">
        <w:t>y</w:t>
      </w:r>
      <w:r>
        <w:t xml:space="preserve"> a</w:t>
      </w:r>
      <w:r w:rsidR="00354733">
        <w:t> materskou spoločnosťou</w:t>
      </w:r>
    </w:p>
    <w:p w14:paraId="65293937" w14:textId="7F94A72A" w:rsidR="00AA100F" w:rsidRDefault="00AA100F" w:rsidP="00AA100F">
      <w:pPr>
        <w:numPr>
          <w:ilvl w:val="0"/>
          <w:numId w:val="5"/>
        </w:numPr>
        <w:ind w:left="709" w:hanging="349"/>
      </w:pPr>
      <w:r>
        <w:lastRenderedPageBreak/>
        <w:t xml:space="preserve">zložitejší spôsob identifikovania či sa jedná o subjekt </w:t>
      </w:r>
      <w:r w:rsidR="008F07F6">
        <w:t>s</w:t>
      </w:r>
      <w:r>
        <w:t xml:space="preserve"> právnou subjektivitou </w:t>
      </w:r>
      <w:r w:rsidR="008F07F6">
        <w:t xml:space="preserve">alebo bez nej </w:t>
      </w:r>
      <w:r>
        <w:t xml:space="preserve">(z pomocnej evidencie alebo kontrolného </w:t>
      </w:r>
      <w:r w:rsidR="00A95F2A">
        <w:t>čísla</w:t>
      </w:r>
      <w:r>
        <w:t>)</w:t>
      </w:r>
    </w:p>
    <w:p w14:paraId="1C3B7F6F" w14:textId="77777777" w:rsidR="00243F95" w:rsidRDefault="00243F95" w:rsidP="00243F95">
      <w:pPr>
        <w:numPr>
          <w:ilvl w:val="0"/>
          <w:numId w:val="5"/>
        </w:numPr>
        <w:ind w:left="709" w:hanging="349"/>
      </w:pPr>
      <w:r>
        <w:t xml:space="preserve">zmena názvu a akronymu identifikátora, ktoré sa v súčasnosti používajú v oficiálnych listinách vydávaných a potvrdzovaných orgánmi verejnej moci </w:t>
      </w:r>
    </w:p>
    <w:p w14:paraId="32DAD1DF" w14:textId="54479497" w:rsidR="0075317A" w:rsidRDefault="0075317A" w:rsidP="00ED444F">
      <w:pPr>
        <w:pStyle w:val="Nadpis3"/>
      </w:pPr>
      <w:r>
        <w:t xml:space="preserve">Prístup 4 </w:t>
      </w:r>
    </w:p>
    <w:p w14:paraId="0FB22797" w14:textId="710B5DFD" w:rsidR="0075317A" w:rsidRDefault="0075317A" w:rsidP="0075317A">
      <w:r>
        <w:t xml:space="preserve">Alternatíva vychádza z rozhodnutia, že hodnoty IPO budú obsahovať hodnotu IČO </w:t>
      </w:r>
      <w:r w:rsidR="00CA0C48">
        <w:t>(8 z</w:t>
      </w:r>
      <w:r w:rsidR="00126BC0">
        <w:t>na</w:t>
      </w:r>
      <w:r w:rsidR="00CA0C48">
        <w:t xml:space="preserve">kov) </w:t>
      </w:r>
      <w:r>
        <w:t xml:space="preserve">ako aj prípadnú hodnotu rozšírenia IČO. Všetky IPO budú rovnakej dĺžky 12 znakov. </w:t>
      </w:r>
    </w:p>
    <w:p w14:paraId="40A57B96" w14:textId="77777777" w:rsidR="0075317A" w:rsidRPr="00644218" w:rsidRDefault="0075317A" w:rsidP="0075317A">
      <w:r w:rsidRPr="00644218">
        <w:t>Spôsob stanovenia hodnoty IPO</w:t>
      </w:r>
    </w:p>
    <w:p w14:paraId="2782F805" w14:textId="04DDF351" w:rsidR="0075317A" w:rsidRDefault="0075317A" w:rsidP="0075317A">
      <w:pPr>
        <w:numPr>
          <w:ilvl w:val="0"/>
          <w:numId w:val="5"/>
        </w:numPr>
        <w:ind w:left="709" w:hanging="349"/>
      </w:pPr>
      <w:r>
        <w:t xml:space="preserve">pre subjekty s  právnou subjektivitou (subjekty, ktoré nevyužívajú rozšírenie IČO) </w:t>
      </w:r>
      <w:r w:rsidRPr="00644218">
        <w:t xml:space="preserve">hodnoty IPO budú </w:t>
      </w:r>
      <w:r>
        <w:t xml:space="preserve">obsahovať IČO a doplnený údaj „0000“ </w:t>
      </w:r>
    </w:p>
    <w:p w14:paraId="66719914" w14:textId="7FE5A58B" w:rsidR="0075317A" w:rsidRDefault="0075317A" w:rsidP="0075317A">
      <w:pPr>
        <w:numPr>
          <w:ilvl w:val="0"/>
          <w:numId w:val="5"/>
        </w:numPr>
        <w:ind w:left="709" w:hanging="349"/>
      </w:pPr>
      <w:r>
        <w:t xml:space="preserve">pre subjekty </w:t>
      </w:r>
      <w:r w:rsidR="00D26EBD">
        <w:t>bez</w:t>
      </w:r>
      <w:r>
        <w:t xml:space="preserve"> právn</w:t>
      </w:r>
      <w:r w:rsidR="00D26EBD">
        <w:t>ej</w:t>
      </w:r>
      <w:r>
        <w:t xml:space="preserve"> subjektivit</w:t>
      </w:r>
      <w:r w:rsidR="00D26EBD">
        <w:t>y</w:t>
      </w:r>
      <w:r>
        <w:t xml:space="preserve"> (subjekty, ktoré využívajú rozšírenie IČO) hodnota IPO vznikne</w:t>
      </w:r>
      <w:r w:rsidR="002B21DC">
        <w:t xml:space="preserve"> použitím hodnoty osobitného identifikátora</w:t>
      </w:r>
    </w:p>
    <w:p w14:paraId="2F0A7620" w14:textId="77777777" w:rsidR="0075317A" w:rsidRDefault="0075317A" w:rsidP="0075317A">
      <w:r>
        <w:t>Vlastnosti IPO</w:t>
      </w:r>
    </w:p>
    <w:p w14:paraId="3F6265A5" w14:textId="77777777" w:rsidR="0075317A" w:rsidRDefault="0075317A" w:rsidP="0075317A">
      <w:pPr>
        <w:numPr>
          <w:ilvl w:val="0"/>
          <w:numId w:val="5"/>
        </w:numPr>
        <w:ind w:left="709" w:hanging="349"/>
      </w:pPr>
      <w:r>
        <w:t>dĺžka: 12 znakov</w:t>
      </w:r>
    </w:p>
    <w:p w14:paraId="3CE23160" w14:textId="75D9DD44" w:rsidR="0075317A" w:rsidRPr="003A6140" w:rsidRDefault="0075317A" w:rsidP="0075317A">
      <w:pPr>
        <w:numPr>
          <w:ilvl w:val="0"/>
          <w:numId w:val="5"/>
        </w:numPr>
        <w:ind w:left="709" w:hanging="349"/>
      </w:pPr>
      <w:r>
        <w:t xml:space="preserve">spôsob stanovenia kontrolného </w:t>
      </w:r>
      <w:r w:rsidR="00A95F2A">
        <w:t>čísla</w:t>
      </w:r>
      <w:r>
        <w:t xml:space="preserve">: </w:t>
      </w:r>
      <w:r w:rsidRPr="003A6140">
        <w:t xml:space="preserve">rovnaký spôsob stanovenia ako pri IČO </w:t>
      </w:r>
    </w:p>
    <w:p w14:paraId="4C8CFFD3" w14:textId="3647D038" w:rsidR="0075317A" w:rsidRDefault="0075317A" w:rsidP="0075317A">
      <w:pPr>
        <w:numPr>
          <w:ilvl w:val="0"/>
          <w:numId w:val="5"/>
        </w:numPr>
        <w:ind w:left="709" w:hanging="349"/>
      </w:pPr>
      <w:r>
        <w:t>spôsob určenia typu subjektu</w:t>
      </w:r>
      <w:r w:rsidR="002B21DC">
        <w:t xml:space="preserve"> z hľadiska jeho právneho postavenia</w:t>
      </w:r>
      <w:r>
        <w:t xml:space="preserve">: z hodnoty IPO </w:t>
      </w:r>
    </w:p>
    <w:p w14:paraId="583F1439" w14:textId="30484C08" w:rsidR="0075317A" w:rsidRDefault="0075317A" w:rsidP="0075317A">
      <w:pPr>
        <w:numPr>
          <w:ilvl w:val="0"/>
          <w:numId w:val="5"/>
        </w:numPr>
        <w:ind w:left="709" w:hanging="349"/>
      </w:pPr>
      <w:r>
        <w:t xml:space="preserve">spôsob určenia vzťahu medzi subjektmi: </w:t>
      </w:r>
      <w:r w:rsidR="002B21DC">
        <w:t>z hodnoty prvých 8 číslic IPO</w:t>
      </w:r>
    </w:p>
    <w:p w14:paraId="06F7AEFE" w14:textId="3F8D75FC" w:rsidR="0075317A" w:rsidRDefault="0075317A" w:rsidP="0075317A">
      <w:pPr>
        <w:numPr>
          <w:ilvl w:val="0"/>
          <w:numId w:val="5"/>
        </w:numPr>
        <w:ind w:left="709" w:hanging="349"/>
      </w:pPr>
      <w:r>
        <w:t>hodnota vzhľadom na  IČO (8 znakov): IČO je časťou IPO</w:t>
      </w:r>
    </w:p>
    <w:p w14:paraId="67010968" w14:textId="77777777" w:rsidR="0075317A" w:rsidRDefault="0075317A" w:rsidP="0075317A">
      <w:pPr>
        <w:numPr>
          <w:ilvl w:val="0"/>
          <w:numId w:val="5"/>
        </w:numPr>
        <w:ind w:left="709" w:hanging="349"/>
      </w:pPr>
      <w:r>
        <w:t xml:space="preserve">hodnota vzhľadom na rozšírenie IČO: rozšírenie IČO je časťou IPO  </w:t>
      </w:r>
    </w:p>
    <w:p w14:paraId="2DD2D165" w14:textId="77777777" w:rsidR="0075317A" w:rsidRDefault="0075317A" w:rsidP="0075317A">
      <w:r>
        <w:t>Potrebné činnosti pre realizovateľnosť prístupu</w:t>
      </w:r>
    </w:p>
    <w:p w14:paraId="26DD96BB" w14:textId="60998FDE" w:rsidR="0075317A" w:rsidRDefault="0075317A" w:rsidP="0075317A">
      <w:pPr>
        <w:numPr>
          <w:ilvl w:val="0"/>
          <w:numId w:val="5"/>
        </w:numPr>
        <w:ind w:left="709" w:hanging="349"/>
      </w:pPr>
      <w:r>
        <w:t xml:space="preserve">pridelenie nových hodnôt IPO pre subjekty s  právnou subjektivitou </w:t>
      </w:r>
    </w:p>
    <w:p w14:paraId="1DEC4892" w14:textId="77777777" w:rsidR="0075317A" w:rsidRDefault="0075317A" w:rsidP="0075317A">
      <w:r>
        <w:t>Výhody alternatívy</w:t>
      </w:r>
    </w:p>
    <w:p w14:paraId="0CA8CB34" w14:textId="77777777" w:rsidR="0075317A" w:rsidRDefault="0075317A" w:rsidP="0075317A">
      <w:pPr>
        <w:numPr>
          <w:ilvl w:val="0"/>
          <w:numId w:val="5"/>
        </w:numPr>
        <w:ind w:left="709" w:hanging="349"/>
      </w:pPr>
      <w:r>
        <w:t>existencia jednej dĺžky IPO pre všetky subjekty</w:t>
      </w:r>
    </w:p>
    <w:p w14:paraId="42884C47" w14:textId="22C35B58" w:rsidR="0075317A" w:rsidRDefault="0075317A" w:rsidP="0075317A">
      <w:pPr>
        <w:numPr>
          <w:ilvl w:val="0"/>
          <w:numId w:val="5"/>
        </w:numPr>
        <w:ind w:left="709" w:hanging="349"/>
      </w:pPr>
      <w:r>
        <w:t xml:space="preserve">jednoduchý </w:t>
      </w:r>
      <w:r w:rsidRPr="000D6614">
        <w:t>prevod hodnôt IČO–IP</w:t>
      </w:r>
      <w:r>
        <w:t>O</w:t>
      </w:r>
    </w:p>
    <w:p w14:paraId="01E31717" w14:textId="7E3123FE" w:rsidR="0075317A" w:rsidRDefault="0075317A" w:rsidP="0075317A">
      <w:pPr>
        <w:numPr>
          <w:ilvl w:val="0"/>
          <w:numId w:val="5"/>
        </w:numPr>
        <w:ind w:left="709" w:hanging="349"/>
      </w:pPr>
      <w:r>
        <w:t>IPO bude vyjadrovať vzťah medzi subjektmi s  právnou subjektivitou</w:t>
      </w:r>
      <w:r w:rsidR="00E635E3">
        <w:t xml:space="preserve"> a subjektmi bez právnej subjektivity</w:t>
      </w:r>
    </w:p>
    <w:p w14:paraId="7FF971EB" w14:textId="77777777" w:rsidR="0075317A" w:rsidRDefault="0075317A" w:rsidP="0075317A">
      <w:r>
        <w:t>Nevýhody alternatívy</w:t>
      </w:r>
    </w:p>
    <w:p w14:paraId="1F9436CB" w14:textId="3E3EBA24" w:rsidR="0075317A" w:rsidRDefault="0075317A" w:rsidP="0075317A">
      <w:pPr>
        <w:numPr>
          <w:ilvl w:val="0"/>
          <w:numId w:val="5"/>
        </w:numPr>
        <w:ind w:left="709" w:hanging="349"/>
      </w:pPr>
      <w:r>
        <w:t>pridelenie nových hodnôt IPO subjektom s  právnou subjektivitou</w:t>
      </w:r>
    </w:p>
    <w:p w14:paraId="74431C61" w14:textId="3BC3D2A6" w:rsidR="00243F95" w:rsidRDefault="0075317A" w:rsidP="0075317A">
      <w:pPr>
        <w:numPr>
          <w:ilvl w:val="0"/>
          <w:numId w:val="5"/>
        </w:numPr>
        <w:ind w:left="709" w:hanging="349"/>
      </w:pPr>
      <w:r>
        <w:t>n</w:t>
      </w:r>
      <w:r w:rsidRPr="00940F07">
        <w:t>utnosť úpravy aplikácií a formulárov na novú dĺžku identifikátora</w:t>
      </w:r>
      <w:r>
        <w:t xml:space="preserve"> (obvykle sú aplikácie prispôsobené pre identifikátor s dĺžkou 8 znakov)</w:t>
      </w:r>
      <w:r w:rsidR="0088157F">
        <w:t xml:space="preserve">, čiže dopredu </w:t>
      </w:r>
      <w:r w:rsidR="0088157F">
        <w:lastRenderedPageBreak/>
        <w:t xml:space="preserve">nevyčísliteľná ale </w:t>
      </w:r>
      <w:r w:rsidR="00EC502C">
        <w:t>pravdepodobne</w:t>
      </w:r>
      <w:r w:rsidR="0088157F">
        <w:t xml:space="preserve"> vysoká finančná a iná administratívna záťaž verejnej a súkromnej sféry, čo neodstráni ani prípadné niekoľko ročné implementačné  obdobie  </w:t>
      </w:r>
      <w:r w:rsidR="00C31E4B">
        <w:t>stanovené zákonom</w:t>
      </w:r>
    </w:p>
    <w:p w14:paraId="3E81B376" w14:textId="77777777" w:rsidR="00243F95" w:rsidRDefault="00243F95" w:rsidP="00243F95">
      <w:pPr>
        <w:numPr>
          <w:ilvl w:val="0"/>
          <w:numId w:val="5"/>
        </w:numPr>
        <w:ind w:left="709" w:hanging="349"/>
      </w:pPr>
      <w:r>
        <w:t xml:space="preserve">zmena názvu a akronymu identifikátora, ktoré sa v súčasnosti používajú v oficiálnych listinách vydávaných a potvrdzovaných orgánmi verejnej moci </w:t>
      </w:r>
    </w:p>
    <w:p w14:paraId="3011E515" w14:textId="1265C199" w:rsidR="006C448B" w:rsidRDefault="006C448B" w:rsidP="00ED444F">
      <w:pPr>
        <w:pStyle w:val="Nadpis3"/>
      </w:pPr>
      <w:r>
        <w:t>Prístup</w:t>
      </w:r>
      <w:r w:rsidR="0075317A">
        <w:t xml:space="preserve"> 5</w:t>
      </w:r>
    </w:p>
    <w:p w14:paraId="398E1498" w14:textId="39DA965A" w:rsidR="006C448B" w:rsidRDefault="006C448B" w:rsidP="006C448B">
      <w:r>
        <w:t xml:space="preserve">Alternatíva vychádza z rozhodnutia, že </w:t>
      </w:r>
      <w:r w:rsidR="00B532E8">
        <w:t xml:space="preserve">hodnota IPO bude odlišná od IČO avšak bude možné vykonať prevod medzi IPO-IČO na základe ich hodnôt </w:t>
      </w:r>
      <w:r w:rsidR="00CA0C48">
        <w:t xml:space="preserve">pre subjekty, ktoré nevyužívajú rozšírenie IČO, </w:t>
      </w:r>
      <w:r w:rsidR="00B532E8">
        <w:t xml:space="preserve">a bude existovať jediná dĺžka IPO (8 znakov). Vzhľadom na nutnosť zachovania vzťahu medzi subjektmi s  právnou subjektivitou </w:t>
      </w:r>
      <w:r w:rsidR="00E635E3">
        <w:t xml:space="preserve">a subjektmi bez právnej subjektivity </w:t>
      </w:r>
      <w:r>
        <w:t>je potrebné viesť a sprístupniť pomocnú evidenciu.</w:t>
      </w:r>
    </w:p>
    <w:p w14:paraId="648C4F25" w14:textId="112D00E1" w:rsidR="0075317A" w:rsidRDefault="0075317A" w:rsidP="006C448B">
      <w:r>
        <w:t xml:space="preserve">Tento prístup umožní zavedenie nového spôsobu určovania kontrolného </w:t>
      </w:r>
      <w:r w:rsidR="00A95F2A">
        <w:t>čísla</w:t>
      </w:r>
      <w:r>
        <w:t xml:space="preserve"> pre všetky subjekty.</w:t>
      </w:r>
    </w:p>
    <w:p w14:paraId="38451830" w14:textId="77777777" w:rsidR="003F055B" w:rsidRPr="00644218" w:rsidRDefault="003F055B" w:rsidP="003F055B">
      <w:r w:rsidRPr="00644218">
        <w:t>Spôsob stanovenia hodnoty IPO</w:t>
      </w:r>
    </w:p>
    <w:p w14:paraId="4DBDC274" w14:textId="11C6C09B" w:rsidR="003F055B" w:rsidRDefault="003F055B" w:rsidP="003F055B">
      <w:pPr>
        <w:numPr>
          <w:ilvl w:val="0"/>
          <w:numId w:val="5"/>
        </w:numPr>
        <w:ind w:left="709" w:hanging="349"/>
      </w:pPr>
      <w:r>
        <w:t xml:space="preserve">pre subjekty s  právnou subjektivitou (subjekty, ktoré nevyužívajú rozšírenie IČO) </w:t>
      </w:r>
      <w:r w:rsidRPr="00644218">
        <w:t xml:space="preserve">hodnoty IPO budú </w:t>
      </w:r>
      <w:r>
        <w:t xml:space="preserve">obsahovať IČO bez jeho kontrolného </w:t>
      </w:r>
      <w:r w:rsidR="00A95F2A">
        <w:t xml:space="preserve">čísla </w:t>
      </w:r>
      <w:r>
        <w:t>a</w:t>
      </w:r>
      <w:r w:rsidR="00A95F2A">
        <w:t> </w:t>
      </w:r>
      <w:r w:rsidR="003916A7">
        <w:t>kontroln</w:t>
      </w:r>
      <w:r w:rsidR="00A95F2A">
        <w:t xml:space="preserve">é číslo </w:t>
      </w:r>
      <w:r w:rsidR="003916A7">
        <w:t>bude stanoven</w:t>
      </w:r>
      <w:r w:rsidR="00A95F2A">
        <w:t>é</w:t>
      </w:r>
      <w:r w:rsidR="003916A7">
        <w:t xml:space="preserve"> na základe </w:t>
      </w:r>
      <w:r w:rsidR="00507767">
        <w:t xml:space="preserve">nového spôsobu jeho určenia </w:t>
      </w:r>
    </w:p>
    <w:p w14:paraId="03D9ADE4" w14:textId="6DAB2964" w:rsidR="003F055B" w:rsidRDefault="003F055B" w:rsidP="003F055B">
      <w:pPr>
        <w:numPr>
          <w:ilvl w:val="0"/>
          <w:numId w:val="5"/>
        </w:numPr>
        <w:ind w:left="709" w:hanging="349"/>
      </w:pPr>
      <w:r>
        <w:t xml:space="preserve">pre subjekty </w:t>
      </w:r>
      <w:r w:rsidR="00E635E3">
        <w:t>bez</w:t>
      </w:r>
      <w:r>
        <w:t xml:space="preserve"> právn</w:t>
      </w:r>
      <w:r w:rsidR="00E635E3">
        <w:t>ej</w:t>
      </w:r>
      <w:r>
        <w:t xml:space="preserve"> subjektivit</w:t>
      </w:r>
      <w:r w:rsidR="00E635E3">
        <w:t>y</w:t>
      </w:r>
      <w:r>
        <w:t xml:space="preserve"> (subjekty, ktoré využívajú rozšírenie IČO) </w:t>
      </w:r>
      <w:r w:rsidR="003916A7">
        <w:t xml:space="preserve">budú vytvorené nové hodnoty </w:t>
      </w:r>
      <w:r w:rsidRPr="00644218">
        <w:t>IPO</w:t>
      </w:r>
      <w:r>
        <w:t xml:space="preserve"> s dĺžkou 8 znakov</w:t>
      </w:r>
      <w:r w:rsidR="003916A7">
        <w:t xml:space="preserve"> pri dodržaní schváleného spôsobu stanovenia kontrolného </w:t>
      </w:r>
      <w:r w:rsidR="00A95F2A">
        <w:t>čísla</w:t>
      </w:r>
      <w:r w:rsidR="003916A7">
        <w:t xml:space="preserve"> </w:t>
      </w:r>
    </w:p>
    <w:p w14:paraId="1AB8ED61" w14:textId="77777777" w:rsidR="006C448B" w:rsidRDefault="006C448B" w:rsidP="006C448B">
      <w:r>
        <w:t>Vlastnosti IPO</w:t>
      </w:r>
    </w:p>
    <w:p w14:paraId="16E2A45E" w14:textId="77777777" w:rsidR="003916A7" w:rsidRDefault="003916A7" w:rsidP="003916A7">
      <w:pPr>
        <w:numPr>
          <w:ilvl w:val="0"/>
          <w:numId w:val="5"/>
        </w:numPr>
        <w:ind w:left="709" w:hanging="349"/>
      </w:pPr>
      <w:r>
        <w:t>dĺžka: 8 znakov</w:t>
      </w:r>
    </w:p>
    <w:p w14:paraId="6E38A2BA" w14:textId="5A5FCEB9" w:rsidR="003916A7" w:rsidRPr="003916A7" w:rsidRDefault="003916A7" w:rsidP="003916A7">
      <w:pPr>
        <w:numPr>
          <w:ilvl w:val="0"/>
          <w:numId w:val="5"/>
        </w:numPr>
        <w:ind w:left="709" w:hanging="349"/>
      </w:pPr>
      <w:r>
        <w:t xml:space="preserve">spôsob stanovenia kontrolného </w:t>
      </w:r>
      <w:r w:rsidR="00A95F2A">
        <w:t>čísla</w:t>
      </w:r>
      <w:r>
        <w:t xml:space="preserve">: </w:t>
      </w:r>
      <w:r w:rsidRPr="003916A7">
        <w:t xml:space="preserve">zavedenia nového spôsobu tvorby kontrolného </w:t>
      </w:r>
      <w:r w:rsidR="00A95F2A">
        <w:t>čísla</w:t>
      </w:r>
      <w:r w:rsidRPr="003916A7">
        <w:t xml:space="preserve">, možnosť zohľadnenia typu subjektu pri tvorbe kontrolného </w:t>
      </w:r>
      <w:r w:rsidR="00A95F2A">
        <w:t>čísla</w:t>
      </w:r>
      <w:r w:rsidR="00507767">
        <w:t xml:space="preserve"> (rôzne spôsoby stanovenia kontrolného </w:t>
      </w:r>
      <w:r w:rsidR="00A95F2A">
        <w:t>čísla</w:t>
      </w:r>
      <w:r w:rsidR="00507767">
        <w:t xml:space="preserve"> pre subjekty s  právnou subjektivitou</w:t>
      </w:r>
      <w:r w:rsidR="00E635E3">
        <w:t xml:space="preserve"> a subjekty bez právnej subjektivity</w:t>
      </w:r>
      <w:r w:rsidR="00507767">
        <w:t>)</w:t>
      </w:r>
    </w:p>
    <w:p w14:paraId="13FA8D88" w14:textId="332EB8C1" w:rsidR="003916A7" w:rsidRDefault="003916A7" w:rsidP="003916A7">
      <w:pPr>
        <w:numPr>
          <w:ilvl w:val="0"/>
          <w:numId w:val="5"/>
        </w:numPr>
        <w:ind w:left="709" w:hanging="349"/>
      </w:pPr>
      <w:r>
        <w:t>spôsob určenia typu subjektu</w:t>
      </w:r>
      <w:r w:rsidR="00D02E0C">
        <w:t xml:space="preserve"> z hľadiska jeho právneho postavenia</w:t>
      </w:r>
      <w:r>
        <w:t xml:space="preserve">: na základe kontrolného </w:t>
      </w:r>
      <w:r w:rsidR="00A95F2A">
        <w:t>čísla</w:t>
      </w:r>
      <w:r>
        <w:t xml:space="preserve"> (ak bude aplikovaný prístup rozdielnych spôsobov stanovenia kontrolného </w:t>
      </w:r>
      <w:r w:rsidR="00A95F2A">
        <w:t>čísla</w:t>
      </w:r>
      <w:r>
        <w:t xml:space="preserve"> pre každú skupinu subjektov (pre subjekty s  právnou subjektivitou</w:t>
      </w:r>
      <w:r w:rsidR="00E635E3">
        <w:t xml:space="preserve"> a subjekty bez právnej subjektivity</w:t>
      </w:r>
      <w:r>
        <w:t>)</w:t>
      </w:r>
      <w:r w:rsidR="00507767">
        <w:t>)</w:t>
      </w:r>
      <w:r>
        <w:t>; v opačnom prípade na základe výskytu záznamov v pomocnej evidencii</w:t>
      </w:r>
    </w:p>
    <w:p w14:paraId="0E1443E2" w14:textId="77777777" w:rsidR="003916A7" w:rsidRDefault="003916A7" w:rsidP="003916A7">
      <w:pPr>
        <w:numPr>
          <w:ilvl w:val="0"/>
          <w:numId w:val="5"/>
        </w:numPr>
        <w:ind w:left="709" w:hanging="349"/>
      </w:pPr>
      <w:r>
        <w:t>spôsob určenia vzťahu medzi subjektmi: z pomocnej evidencie</w:t>
      </w:r>
    </w:p>
    <w:p w14:paraId="3A7CEA0A" w14:textId="47EC0665" w:rsidR="003916A7" w:rsidRDefault="003916A7" w:rsidP="003916A7">
      <w:pPr>
        <w:numPr>
          <w:ilvl w:val="0"/>
          <w:numId w:val="5"/>
        </w:numPr>
        <w:ind w:left="709" w:hanging="349"/>
      </w:pPr>
      <w:r>
        <w:t xml:space="preserve">hodnota vzhľadom na  IČO (8 znakov): IČO (okrem kontrolného </w:t>
      </w:r>
      <w:r w:rsidR="00A95F2A">
        <w:t>čísla</w:t>
      </w:r>
      <w:r>
        <w:t xml:space="preserve">) je totožné s IPO pre subjekty s  právnou subjektivitou; pre subjekty </w:t>
      </w:r>
      <w:r w:rsidR="00E635E3">
        <w:t>bez</w:t>
      </w:r>
      <w:r>
        <w:t xml:space="preserve"> právn</w:t>
      </w:r>
      <w:r w:rsidR="00E635E3">
        <w:t>ej</w:t>
      </w:r>
      <w:r>
        <w:t xml:space="preserve"> subjektivit</w:t>
      </w:r>
      <w:r w:rsidR="00E635E3">
        <w:t>y</w:t>
      </w:r>
      <w:r>
        <w:t xml:space="preserve"> je možné zabezpečiť prevod IPO-IČO len z konverznej tabuľky</w:t>
      </w:r>
    </w:p>
    <w:p w14:paraId="0157DD9A" w14:textId="0F892FED" w:rsidR="003916A7" w:rsidRDefault="003916A7" w:rsidP="00625AF2">
      <w:pPr>
        <w:numPr>
          <w:ilvl w:val="0"/>
          <w:numId w:val="5"/>
        </w:numPr>
        <w:ind w:left="709" w:hanging="349"/>
      </w:pPr>
      <w:r>
        <w:lastRenderedPageBreak/>
        <w:t xml:space="preserve">hodnota vzhľadom na rozšírenie IČO: </w:t>
      </w:r>
      <w:r w:rsidR="00507767">
        <w:t xml:space="preserve">z konverznej tabuľky </w:t>
      </w:r>
    </w:p>
    <w:p w14:paraId="5BE6FF27" w14:textId="77777777" w:rsidR="00AA100F" w:rsidRDefault="00AA100F" w:rsidP="00AA100F">
      <w:r>
        <w:t>Potrebné činnosti pre realizovateľnosť prístupu</w:t>
      </w:r>
    </w:p>
    <w:p w14:paraId="2D016716" w14:textId="77777777" w:rsidR="00AA100F" w:rsidRDefault="00AA100F" w:rsidP="00AA100F">
      <w:pPr>
        <w:numPr>
          <w:ilvl w:val="0"/>
          <w:numId w:val="5"/>
        </w:numPr>
        <w:ind w:left="709" w:hanging="349"/>
      </w:pPr>
      <w:r>
        <w:t xml:space="preserve">pridelenie nových hodnôt IPO pre všetky subjekty </w:t>
      </w:r>
    </w:p>
    <w:p w14:paraId="29DC88E4" w14:textId="139BE9D1" w:rsidR="00AA100F" w:rsidRDefault="00AA100F" w:rsidP="00AA100F">
      <w:pPr>
        <w:numPr>
          <w:ilvl w:val="0"/>
          <w:numId w:val="5"/>
        </w:numPr>
        <w:ind w:left="709" w:hanging="349"/>
      </w:pPr>
      <w:r>
        <w:t xml:space="preserve">zavedenie a správa evidencie pre vzťah medzi subjektom </w:t>
      </w:r>
      <w:r w:rsidR="00E635E3">
        <w:t xml:space="preserve">bez </w:t>
      </w:r>
      <w:r>
        <w:t>právn</w:t>
      </w:r>
      <w:r w:rsidR="00E635E3">
        <w:t>ej</w:t>
      </w:r>
      <w:r>
        <w:t xml:space="preserve"> subjektivit</w:t>
      </w:r>
      <w:r w:rsidR="00E635E3">
        <w:t>y</w:t>
      </w:r>
      <w:r>
        <w:t xml:space="preserve"> a</w:t>
      </w:r>
      <w:r w:rsidR="00507767">
        <w:t> materskou spoločnosťou</w:t>
      </w:r>
    </w:p>
    <w:p w14:paraId="0C7C5AC3" w14:textId="77777777" w:rsidR="00AA100F" w:rsidRDefault="00AA100F" w:rsidP="00AA100F">
      <w:r>
        <w:t>Výhody alternatívy</w:t>
      </w:r>
    </w:p>
    <w:p w14:paraId="19B2ACB4" w14:textId="77777777" w:rsidR="00AA100F" w:rsidRDefault="00AA100F" w:rsidP="00AA100F">
      <w:pPr>
        <w:numPr>
          <w:ilvl w:val="0"/>
          <w:numId w:val="5"/>
        </w:numPr>
        <w:ind w:left="709" w:hanging="349"/>
      </w:pPr>
      <w:r>
        <w:t>existencia jednej dĺžky IPO pre všetky subjekty</w:t>
      </w:r>
    </w:p>
    <w:p w14:paraId="3ED0E59B" w14:textId="03536C39" w:rsidR="00AA100F" w:rsidRPr="000D6614" w:rsidRDefault="00AA100F" w:rsidP="00AA100F">
      <w:pPr>
        <w:numPr>
          <w:ilvl w:val="0"/>
          <w:numId w:val="5"/>
        </w:numPr>
        <w:ind w:left="709" w:hanging="349"/>
      </w:pPr>
      <w:r w:rsidRPr="000D6614">
        <w:t xml:space="preserve">možnosť zavedenia nového spôsobu tvorby kontrolného </w:t>
      </w:r>
      <w:r w:rsidR="00A95F2A">
        <w:t>čísla</w:t>
      </w:r>
      <w:r w:rsidRPr="000D6614">
        <w:t xml:space="preserve"> (napr. aj v súvislosti s pridelením </w:t>
      </w:r>
      <w:r>
        <w:t>IPO subjektom s rozšíreným IČO)</w:t>
      </w:r>
    </w:p>
    <w:p w14:paraId="2276B37F" w14:textId="5D4A10A1" w:rsidR="00AA100F" w:rsidRDefault="00AA100F" w:rsidP="0030600D">
      <w:pPr>
        <w:numPr>
          <w:ilvl w:val="0"/>
          <w:numId w:val="5"/>
        </w:numPr>
        <w:ind w:left="709" w:hanging="349"/>
      </w:pPr>
      <w:r w:rsidRPr="000D6614">
        <w:t>možný prevod hodnôt IČO–IP</w:t>
      </w:r>
      <w:r>
        <w:t>O</w:t>
      </w:r>
    </w:p>
    <w:p w14:paraId="4A33127B" w14:textId="77777777" w:rsidR="00AA100F" w:rsidRDefault="00AA100F" w:rsidP="00AA100F">
      <w:r>
        <w:t>Nevýhody alternatívy</w:t>
      </w:r>
    </w:p>
    <w:p w14:paraId="2458C231" w14:textId="184CFD0A" w:rsidR="00AA100F" w:rsidRDefault="00AA100F" w:rsidP="00AA100F">
      <w:pPr>
        <w:numPr>
          <w:ilvl w:val="0"/>
          <w:numId w:val="5"/>
        </w:numPr>
        <w:ind w:left="709" w:hanging="349"/>
      </w:pPr>
      <w:r>
        <w:t xml:space="preserve">pridelenie nových hodnôt IPO všetkým subjektom </w:t>
      </w:r>
    </w:p>
    <w:p w14:paraId="3A13CE41" w14:textId="10A9435F" w:rsidR="00AA100F" w:rsidRPr="00AA100F" w:rsidRDefault="00AA100F" w:rsidP="00AA100F">
      <w:pPr>
        <w:numPr>
          <w:ilvl w:val="0"/>
          <w:numId w:val="5"/>
        </w:numPr>
        <w:ind w:left="709" w:hanging="349"/>
      </w:pPr>
      <w:r w:rsidRPr="00AA100F">
        <w:t xml:space="preserve">úplné IČO nie je súčasťou IPO (nie je priamo </w:t>
      </w:r>
      <w:r w:rsidR="00A95F2A">
        <w:t>„</w:t>
      </w:r>
      <w:r w:rsidRPr="00AA100F">
        <w:t>viditeľné</w:t>
      </w:r>
      <w:r w:rsidR="00A95F2A">
        <w:t>“</w:t>
      </w:r>
      <w:r w:rsidRPr="00AA100F">
        <w:t xml:space="preserve"> (je potrebné prepočíta</w:t>
      </w:r>
      <w:r w:rsidR="00507767">
        <w:t>nie</w:t>
      </w:r>
      <w:r w:rsidR="00A95F2A">
        <w:t>))</w:t>
      </w:r>
    </w:p>
    <w:p w14:paraId="7C1E8C8B" w14:textId="7B4D4B7D" w:rsidR="00AA100F" w:rsidRDefault="00AA100F" w:rsidP="00AA100F">
      <w:pPr>
        <w:numPr>
          <w:ilvl w:val="0"/>
          <w:numId w:val="5"/>
        </w:numPr>
        <w:ind w:left="709" w:hanging="349"/>
      </w:pPr>
      <w:r>
        <w:t xml:space="preserve">vedenie a sprístupnenie samostatnej evidencie pre vzťah medzi subjektom </w:t>
      </w:r>
      <w:r w:rsidR="00E635E3">
        <w:t>bez</w:t>
      </w:r>
      <w:r>
        <w:t xml:space="preserve"> právn</w:t>
      </w:r>
      <w:r w:rsidR="00E635E3">
        <w:t>ej</w:t>
      </w:r>
      <w:r>
        <w:t xml:space="preserve"> subjektivit</w:t>
      </w:r>
      <w:r w:rsidR="00E635E3">
        <w:t>y</w:t>
      </w:r>
      <w:r>
        <w:t xml:space="preserve"> a</w:t>
      </w:r>
      <w:r w:rsidR="00507767">
        <w:t> materskou spoločnosťou</w:t>
      </w:r>
    </w:p>
    <w:p w14:paraId="3B0299EC" w14:textId="5F55F764" w:rsidR="00AA100F" w:rsidRDefault="00AA100F" w:rsidP="00AA100F">
      <w:pPr>
        <w:numPr>
          <w:ilvl w:val="0"/>
          <w:numId w:val="5"/>
        </w:numPr>
        <w:ind w:left="709" w:hanging="349"/>
      </w:pPr>
      <w:r>
        <w:t xml:space="preserve">zložitejší spôsob identifikovania či sa jedná o subjekt </w:t>
      </w:r>
      <w:r w:rsidR="00507767">
        <w:t xml:space="preserve">s </w:t>
      </w:r>
      <w:r>
        <w:t xml:space="preserve">právnou subjektivitou </w:t>
      </w:r>
      <w:r w:rsidR="00E635E3">
        <w:t xml:space="preserve">alebo subjekt bez právnej subjektivity </w:t>
      </w:r>
      <w:r>
        <w:t xml:space="preserve">(z pomocnej evidencie alebo kontrolného </w:t>
      </w:r>
      <w:r w:rsidR="00A95F2A">
        <w:t>čísla</w:t>
      </w:r>
      <w:r>
        <w:t>)</w:t>
      </w:r>
    </w:p>
    <w:p w14:paraId="30FDA473" w14:textId="77777777" w:rsidR="00243F95" w:rsidRDefault="00243F95" w:rsidP="00243F95">
      <w:pPr>
        <w:numPr>
          <w:ilvl w:val="0"/>
          <w:numId w:val="5"/>
        </w:numPr>
        <w:ind w:left="709" w:hanging="349"/>
      </w:pPr>
      <w:r>
        <w:t xml:space="preserve">zmena názvu a akronymu identifikátora, ktoré sa v súčasnosti používajú v oficiálnych listinách vydávaných a potvrdzovaných orgánmi verejnej moci </w:t>
      </w:r>
    </w:p>
    <w:p w14:paraId="2DE28D57" w14:textId="08A779D0" w:rsidR="00260057" w:rsidRDefault="00260057" w:rsidP="00ED444F">
      <w:pPr>
        <w:pStyle w:val="Nadpis3"/>
      </w:pPr>
      <w:r>
        <w:t>Prístup</w:t>
      </w:r>
      <w:r w:rsidR="0003798D">
        <w:t xml:space="preserve"> 6 </w:t>
      </w:r>
    </w:p>
    <w:p w14:paraId="25EF73B1" w14:textId="77777777" w:rsidR="00E75231" w:rsidRDefault="0003798D" w:rsidP="0003798D">
      <w:r>
        <w:t>Alternatíva vychádza z rozhodnutia, že hodnota IPO bude odlišná od IČO avšak bude možné vykonať prevod medzi IPO-IČO na základe ich hodnôt</w:t>
      </w:r>
      <w:r w:rsidR="00E75231">
        <w:t xml:space="preserve"> aj pre subjekty ktoré využívajú rozšírenie IČO. V tejto alternatíve existuje viac možností napr.:</w:t>
      </w:r>
    </w:p>
    <w:p w14:paraId="3147DBF2" w14:textId="7DE8CC08" w:rsidR="00E75231" w:rsidRDefault="00E75231" w:rsidP="00E75231">
      <w:pPr>
        <w:numPr>
          <w:ilvl w:val="0"/>
          <w:numId w:val="5"/>
        </w:numPr>
        <w:ind w:left="709" w:hanging="349"/>
      </w:pPr>
      <w:r>
        <w:t xml:space="preserve">spôsobu určovania kontrolného </w:t>
      </w:r>
      <w:r w:rsidR="00A95F2A">
        <w:t>čísla</w:t>
      </w:r>
    </w:p>
    <w:p w14:paraId="5CA08CB4" w14:textId="20B39FFD" w:rsidR="00E75231" w:rsidRDefault="00E75231" w:rsidP="00E75231">
      <w:pPr>
        <w:numPr>
          <w:ilvl w:val="1"/>
          <w:numId w:val="5"/>
        </w:numPr>
      </w:pPr>
      <w:r>
        <w:t>samostatne pre časť IČO a rozšírenie IČO</w:t>
      </w:r>
    </w:p>
    <w:p w14:paraId="5C82CB06" w14:textId="4E3C5DE1" w:rsidR="00E75231" w:rsidRDefault="00E75231" w:rsidP="00E75231">
      <w:pPr>
        <w:numPr>
          <w:ilvl w:val="1"/>
          <w:numId w:val="5"/>
        </w:numPr>
      </w:pPr>
      <w:r>
        <w:t>spolu pre celé IPO</w:t>
      </w:r>
    </w:p>
    <w:p w14:paraId="4A8C2F23" w14:textId="006808D6" w:rsidR="00E75231" w:rsidRDefault="00E75231" w:rsidP="00E75231">
      <w:pPr>
        <w:numPr>
          <w:ilvl w:val="0"/>
          <w:numId w:val="5"/>
        </w:numPr>
        <w:ind w:left="709" w:hanging="349"/>
      </w:pPr>
      <w:r>
        <w:t>dĺžk</w:t>
      </w:r>
      <w:r w:rsidR="00400837">
        <w:t>a</w:t>
      </w:r>
      <w:r>
        <w:t xml:space="preserve"> IPO</w:t>
      </w:r>
    </w:p>
    <w:p w14:paraId="09596DCC" w14:textId="44BF2001" w:rsidR="00E75231" w:rsidRDefault="00E75231" w:rsidP="00E75231">
      <w:pPr>
        <w:numPr>
          <w:ilvl w:val="1"/>
          <w:numId w:val="5"/>
        </w:numPr>
      </w:pPr>
      <w:r>
        <w:t>min. 12 znakov</w:t>
      </w:r>
    </w:p>
    <w:p w14:paraId="7CEA7254" w14:textId="0E6992A9" w:rsidR="00E75231" w:rsidRDefault="00E75231" w:rsidP="00E75231">
      <w:pPr>
        <w:numPr>
          <w:ilvl w:val="0"/>
          <w:numId w:val="5"/>
        </w:numPr>
        <w:ind w:left="709" w:hanging="349"/>
      </w:pPr>
      <w:r>
        <w:t>spôsob tvorby IPO</w:t>
      </w:r>
    </w:p>
    <w:p w14:paraId="2A854B8F" w14:textId="0EA20818" w:rsidR="00E75231" w:rsidRDefault="00400837" w:rsidP="00E75231">
      <w:pPr>
        <w:numPr>
          <w:ilvl w:val="1"/>
          <w:numId w:val="5"/>
        </w:numPr>
      </w:pPr>
      <w:r>
        <w:t xml:space="preserve">podľa pozície </w:t>
      </w:r>
      <w:r w:rsidR="00E75231">
        <w:t>umiestneni</w:t>
      </w:r>
      <w:r w:rsidR="00A95F2A">
        <w:t>a</w:t>
      </w:r>
      <w:r w:rsidR="00E75231">
        <w:t xml:space="preserve"> kontrolného </w:t>
      </w:r>
      <w:r w:rsidR="00A95F2A">
        <w:t>čísla</w:t>
      </w:r>
      <w:r w:rsidR="00E75231">
        <w:t xml:space="preserve"> </w:t>
      </w:r>
    </w:p>
    <w:p w14:paraId="43515FE2" w14:textId="77777777" w:rsidR="00935158" w:rsidRPr="00644218" w:rsidRDefault="00935158" w:rsidP="00935158">
      <w:r w:rsidRPr="00644218">
        <w:lastRenderedPageBreak/>
        <w:t>Spôsob stanovenia hodnoty IPO</w:t>
      </w:r>
    </w:p>
    <w:p w14:paraId="3B79543F" w14:textId="41644667" w:rsidR="00935158" w:rsidRDefault="00400837" w:rsidP="004D091A">
      <w:pPr>
        <w:numPr>
          <w:ilvl w:val="0"/>
          <w:numId w:val="5"/>
        </w:numPr>
        <w:ind w:left="709" w:hanging="349"/>
      </w:pPr>
      <w:r>
        <w:t xml:space="preserve">IPO bude obsahovať hodnotu IČO bez kontrolného </w:t>
      </w:r>
      <w:r w:rsidR="00A95F2A">
        <w:t>čísla</w:t>
      </w:r>
      <w:r>
        <w:t xml:space="preserve"> ako aj prípadnú hodnotu rozšírenia IČO, pričom je možných mnoho spôsobov spojenia</w:t>
      </w:r>
      <w:r w:rsidR="00126BC0">
        <w:t xml:space="preserve"> IČO a rozšírenia IČO</w:t>
      </w:r>
      <w:r>
        <w:t xml:space="preserve">; z pohľadu potrebných činností ako aj významných ne/výhod alternatívy sú tieto možnosti spojenia podobné        </w:t>
      </w:r>
    </w:p>
    <w:p w14:paraId="47EBEAAE" w14:textId="77777777" w:rsidR="00260057" w:rsidRDefault="00260057" w:rsidP="00260057">
      <w:r>
        <w:t>Vlastnosti IPO</w:t>
      </w:r>
    </w:p>
    <w:p w14:paraId="57DA3661" w14:textId="0AC9D16F" w:rsidR="00C62FB4" w:rsidRDefault="00C62FB4" w:rsidP="00C62FB4">
      <w:pPr>
        <w:numPr>
          <w:ilvl w:val="0"/>
          <w:numId w:val="5"/>
        </w:numPr>
        <w:ind w:left="709" w:hanging="349"/>
      </w:pPr>
      <w:r>
        <w:t xml:space="preserve">dĺžka: </w:t>
      </w:r>
      <w:r w:rsidR="00400837">
        <w:t>min.</w:t>
      </w:r>
      <w:r>
        <w:t xml:space="preserve"> 12 znakov</w:t>
      </w:r>
    </w:p>
    <w:p w14:paraId="696504F9" w14:textId="040F17F5" w:rsidR="00C62FB4" w:rsidRPr="003A6140" w:rsidRDefault="00C62FB4" w:rsidP="00C62FB4">
      <w:pPr>
        <w:numPr>
          <w:ilvl w:val="0"/>
          <w:numId w:val="5"/>
        </w:numPr>
        <w:ind w:left="709" w:hanging="349"/>
      </w:pPr>
      <w:r>
        <w:t xml:space="preserve">spôsob stanovenia kontrolného </w:t>
      </w:r>
      <w:r w:rsidR="00A95F2A">
        <w:t>čísla</w:t>
      </w:r>
      <w:r>
        <w:t xml:space="preserve">: </w:t>
      </w:r>
      <w:r w:rsidRPr="00C62FB4">
        <w:t xml:space="preserve">zavedenie nového spôsobu tvorby kontrolného </w:t>
      </w:r>
      <w:r w:rsidR="00A95F2A">
        <w:t>čísla</w:t>
      </w:r>
    </w:p>
    <w:p w14:paraId="637CA736" w14:textId="4A76F4CB" w:rsidR="00C62FB4" w:rsidRDefault="00C62FB4" w:rsidP="00C62FB4">
      <w:pPr>
        <w:numPr>
          <w:ilvl w:val="0"/>
          <w:numId w:val="5"/>
        </w:numPr>
        <w:ind w:left="709" w:hanging="349"/>
      </w:pPr>
      <w:r>
        <w:t>spôsob určenia typu subjektu</w:t>
      </w:r>
      <w:r w:rsidR="00D02E0C" w:rsidRPr="00D02E0C">
        <w:t xml:space="preserve"> </w:t>
      </w:r>
      <w:r w:rsidR="00D02E0C">
        <w:t>z hľadiska jeho právneho postavenia</w:t>
      </w:r>
      <w:r>
        <w:t xml:space="preserve">: z hodnoty IPO </w:t>
      </w:r>
    </w:p>
    <w:p w14:paraId="4027ABE4" w14:textId="77777777" w:rsidR="00C62FB4" w:rsidRDefault="00C62FB4" w:rsidP="00C62FB4">
      <w:pPr>
        <w:numPr>
          <w:ilvl w:val="0"/>
          <w:numId w:val="5"/>
        </w:numPr>
        <w:ind w:left="709" w:hanging="349"/>
      </w:pPr>
      <w:r>
        <w:t>spôsob určenia vzťahu medzi subjektmi: z hodnoty IPO</w:t>
      </w:r>
    </w:p>
    <w:p w14:paraId="4CFA2B89" w14:textId="282DD32E" w:rsidR="00C62FB4" w:rsidRDefault="00C62FB4" w:rsidP="00C62FB4">
      <w:pPr>
        <w:numPr>
          <w:ilvl w:val="0"/>
          <w:numId w:val="5"/>
        </w:numPr>
        <w:ind w:left="709" w:hanging="349"/>
      </w:pPr>
      <w:r>
        <w:t xml:space="preserve">hodnota vzhľadom na  IČO (8 znakov): IČO </w:t>
      </w:r>
      <w:r w:rsidR="00DE0990">
        <w:t xml:space="preserve">bez kontrolného </w:t>
      </w:r>
      <w:r w:rsidR="00A95F2A">
        <w:t>čísla</w:t>
      </w:r>
      <w:r w:rsidR="00DE0990">
        <w:t xml:space="preserve"> </w:t>
      </w:r>
      <w:r>
        <w:t>je súčasťou IPO</w:t>
      </w:r>
      <w:r w:rsidR="00DE0990">
        <w:t xml:space="preserve"> a</w:t>
      </w:r>
      <w:r w:rsidR="00A95F2A">
        <w:t> </w:t>
      </w:r>
      <w:r w:rsidR="00DE0990">
        <w:t>kontroln</w:t>
      </w:r>
      <w:r w:rsidR="00A95F2A">
        <w:t>é číslo</w:t>
      </w:r>
      <w:r w:rsidR="00DE0990">
        <w:t xml:space="preserve"> je možné stanoviť na základe schválených algoritmov</w:t>
      </w:r>
    </w:p>
    <w:p w14:paraId="3464FB37" w14:textId="37D03B4C" w:rsidR="00C62FB4" w:rsidRDefault="00C62FB4" w:rsidP="00DE0990">
      <w:pPr>
        <w:numPr>
          <w:ilvl w:val="0"/>
          <w:numId w:val="5"/>
        </w:numPr>
        <w:ind w:left="709" w:hanging="349"/>
      </w:pPr>
      <w:r>
        <w:t>hodnota vzhľadom na rozšírenie IČO:</w:t>
      </w:r>
      <w:r w:rsidR="00DE0990">
        <w:t xml:space="preserve"> </w:t>
      </w:r>
      <w:r w:rsidR="00DE0990" w:rsidRPr="00DE0990">
        <w:t>rozšíren</w:t>
      </w:r>
      <w:r w:rsidR="00400837">
        <w:t>ie</w:t>
      </w:r>
      <w:r w:rsidR="00DE0990" w:rsidRPr="00DE0990">
        <w:t xml:space="preserve"> IČO </w:t>
      </w:r>
      <w:r w:rsidR="00400837">
        <w:t xml:space="preserve">je súčasťou IPO </w:t>
      </w:r>
    </w:p>
    <w:p w14:paraId="317DFF77" w14:textId="010B5B24" w:rsidR="00260057" w:rsidRDefault="00260057" w:rsidP="00260057">
      <w:r>
        <w:t>Potrebné činnosti pre realizovateľnosť prístupu</w:t>
      </w:r>
    </w:p>
    <w:p w14:paraId="21AD98C3" w14:textId="53D19E61" w:rsidR="00260057" w:rsidRDefault="00260057" w:rsidP="00260057">
      <w:pPr>
        <w:numPr>
          <w:ilvl w:val="0"/>
          <w:numId w:val="5"/>
        </w:numPr>
        <w:ind w:left="709" w:hanging="349"/>
      </w:pPr>
      <w:r>
        <w:t xml:space="preserve">pridelenie nových hodnôt IPO pre všetky subjekty </w:t>
      </w:r>
    </w:p>
    <w:p w14:paraId="1BCA30FB" w14:textId="77777777" w:rsidR="00260057" w:rsidRDefault="00260057" w:rsidP="00260057">
      <w:r>
        <w:t>Výhody alternatívy</w:t>
      </w:r>
    </w:p>
    <w:p w14:paraId="36C5D33E" w14:textId="77777777" w:rsidR="00260057" w:rsidRDefault="00260057" w:rsidP="00260057">
      <w:pPr>
        <w:numPr>
          <w:ilvl w:val="0"/>
          <w:numId w:val="5"/>
        </w:numPr>
        <w:ind w:left="709" w:hanging="349"/>
      </w:pPr>
      <w:r>
        <w:t>existencia jednej dĺžky IPO pre všetky subjekty</w:t>
      </w:r>
    </w:p>
    <w:p w14:paraId="68638C22" w14:textId="36B7E2C8" w:rsidR="00CA0C48" w:rsidRDefault="00CA0C48" w:rsidP="00CA0C48">
      <w:pPr>
        <w:numPr>
          <w:ilvl w:val="0"/>
          <w:numId w:val="5"/>
        </w:numPr>
        <w:ind w:left="709" w:hanging="349"/>
      </w:pPr>
      <w:r w:rsidRPr="000D6614">
        <w:t>možný prevod hodnôt IČO–IP</w:t>
      </w:r>
      <w:r>
        <w:t>O</w:t>
      </w:r>
    </w:p>
    <w:p w14:paraId="31EC20C7" w14:textId="4933F062" w:rsidR="0064445C" w:rsidRDefault="0064445C" w:rsidP="0030600D">
      <w:pPr>
        <w:numPr>
          <w:ilvl w:val="0"/>
          <w:numId w:val="5"/>
        </w:numPr>
        <w:ind w:left="709" w:hanging="349"/>
      </w:pPr>
      <w:r w:rsidRPr="0064445C">
        <w:t>IPO bude vyjadrovať vzťah medzi subjektmi s originálnou a odvodenou právnou subjektivitou</w:t>
      </w:r>
    </w:p>
    <w:p w14:paraId="35A32B73" w14:textId="77777777" w:rsidR="00260057" w:rsidRDefault="00260057" w:rsidP="00260057">
      <w:r>
        <w:t>Nevýhody alternatívy</w:t>
      </w:r>
    </w:p>
    <w:p w14:paraId="4FC6B930" w14:textId="6D5D6ADB" w:rsidR="00260057" w:rsidRDefault="00260057" w:rsidP="00260057">
      <w:pPr>
        <w:numPr>
          <w:ilvl w:val="0"/>
          <w:numId w:val="5"/>
        </w:numPr>
        <w:ind w:left="709" w:hanging="349"/>
      </w:pPr>
      <w:r>
        <w:t xml:space="preserve">pridelenie nových hodnôt IPO </w:t>
      </w:r>
      <w:r w:rsidR="0064445C">
        <w:t xml:space="preserve">všetkým </w:t>
      </w:r>
      <w:r>
        <w:t xml:space="preserve">subjektom </w:t>
      </w:r>
    </w:p>
    <w:p w14:paraId="15BB3B2F" w14:textId="77777777" w:rsidR="00260057" w:rsidRDefault="00260057" w:rsidP="00260057">
      <w:pPr>
        <w:numPr>
          <w:ilvl w:val="0"/>
          <w:numId w:val="5"/>
        </w:numPr>
        <w:ind w:left="709" w:hanging="349"/>
      </w:pPr>
      <w:r>
        <w:t>n</w:t>
      </w:r>
      <w:r w:rsidRPr="00940F07">
        <w:t>utnosť úpravy aplikácií a formulárov na novú dĺžku identifikátora</w:t>
      </w:r>
      <w:r>
        <w:t xml:space="preserve"> (obvykle sú aplikácie prispôsobené pre identifikátor s dĺžkou 8 znakov)</w:t>
      </w:r>
    </w:p>
    <w:p w14:paraId="1061FFEF" w14:textId="77777777" w:rsidR="00243F95" w:rsidRDefault="00243F95" w:rsidP="00243F95">
      <w:pPr>
        <w:numPr>
          <w:ilvl w:val="0"/>
          <w:numId w:val="5"/>
        </w:numPr>
        <w:ind w:left="709" w:hanging="349"/>
      </w:pPr>
      <w:r>
        <w:t xml:space="preserve">zmena názvu a akronymu identifikátora, ktoré sa v súčasnosti používajú v oficiálnych listinách vydávaných a potvrdzovaných orgánmi verejnej moci </w:t>
      </w:r>
    </w:p>
    <w:p w14:paraId="61205C77" w14:textId="04884E47" w:rsidR="00E6009A" w:rsidRDefault="00E6009A" w:rsidP="00ED444F">
      <w:pPr>
        <w:pStyle w:val="Nadpis3"/>
      </w:pPr>
      <w:r>
        <w:t>Prístup</w:t>
      </w:r>
      <w:r w:rsidR="00CA0C48">
        <w:t xml:space="preserve"> 7</w:t>
      </w:r>
    </w:p>
    <w:p w14:paraId="5EDAE679" w14:textId="2DB94F99" w:rsidR="00E6009A" w:rsidRDefault="00E6009A" w:rsidP="00E6009A">
      <w:r>
        <w:t xml:space="preserve">Alternatíva vychádza z rozhodnutia, že hodnoty IPO sa budú úplne líšiť od IČO a nie je požadovaná možnosť priameho prevodu hodnoty IPO na IČO (t.j. na základe definovaného algoritmu bez dostupnosti </w:t>
      </w:r>
      <w:r w:rsidR="00DE0990">
        <w:t>konverznej</w:t>
      </w:r>
      <w:r>
        <w:t xml:space="preserve"> tabuľky IPO-IČO). Vedie to k  </w:t>
      </w:r>
      <w:r w:rsidRPr="00E6009A">
        <w:lastRenderedPageBreak/>
        <w:t>úpln</w:t>
      </w:r>
      <w:r>
        <w:t>ej</w:t>
      </w:r>
      <w:r w:rsidRPr="00E6009A">
        <w:t xml:space="preserve"> voľnos</w:t>
      </w:r>
      <w:r>
        <w:t>ti</w:t>
      </w:r>
      <w:r w:rsidRPr="00E6009A">
        <w:t xml:space="preserve"> pri definovaní formátu IPO</w:t>
      </w:r>
      <w:r>
        <w:t xml:space="preserve"> a</w:t>
      </w:r>
      <w:r w:rsidRPr="00E6009A">
        <w:t xml:space="preserve"> </w:t>
      </w:r>
      <w:r>
        <w:t>u</w:t>
      </w:r>
      <w:r w:rsidRPr="00E6009A">
        <w:t xml:space="preserve">možní zohľadniť všetky požiadavky kladené na IPO bez nutnosti zohľadnenia formátu IČO. </w:t>
      </w:r>
    </w:p>
    <w:p w14:paraId="3E94A632" w14:textId="258EB5A0" w:rsidR="00E6009A" w:rsidRPr="00DE0990" w:rsidRDefault="00E6009A" w:rsidP="00E6009A">
      <w:r w:rsidRPr="00DE0990">
        <w:t>Spôsob stanovenia hodnoty IPO</w:t>
      </w:r>
    </w:p>
    <w:p w14:paraId="571A61DB" w14:textId="0C5CAC04" w:rsidR="00EA34F2" w:rsidRPr="00DE0990" w:rsidRDefault="00EA34F2" w:rsidP="00EA34F2">
      <w:pPr>
        <w:numPr>
          <w:ilvl w:val="0"/>
          <w:numId w:val="5"/>
        </w:numPr>
        <w:ind w:left="709" w:hanging="349"/>
      </w:pPr>
      <w:r w:rsidRPr="00DE0990">
        <w:t>hodnoty IPO budú stanovené náhodne (bez vzťahu k hodnote IČO)</w:t>
      </w:r>
    </w:p>
    <w:p w14:paraId="506EB196" w14:textId="77777777" w:rsidR="00E6009A" w:rsidRDefault="00E6009A" w:rsidP="00E6009A">
      <w:r>
        <w:t>Vlastnosti IPO</w:t>
      </w:r>
    </w:p>
    <w:p w14:paraId="419FA394" w14:textId="719E618C" w:rsidR="00E6009A" w:rsidRDefault="00E6009A" w:rsidP="00E6009A">
      <w:pPr>
        <w:numPr>
          <w:ilvl w:val="0"/>
          <w:numId w:val="5"/>
        </w:numPr>
        <w:ind w:left="709" w:hanging="349"/>
      </w:pPr>
      <w:r>
        <w:t xml:space="preserve">dĺžka: podľa rozhodnutia </w:t>
      </w:r>
    </w:p>
    <w:p w14:paraId="245347AC" w14:textId="15573311" w:rsidR="00E6009A" w:rsidRDefault="00DE0990" w:rsidP="00E6009A">
      <w:pPr>
        <w:numPr>
          <w:ilvl w:val="0"/>
          <w:numId w:val="5"/>
        </w:numPr>
        <w:ind w:left="709" w:hanging="349"/>
      </w:pPr>
      <w:r>
        <w:t xml:space="preserve">spôsob stanovenia kontrolného </w:t>
      </w:r>
      <w:r w:rsidR="00731D9C">
        <w:t>čísla</w:t>
      </w:r>
      <w:r w:rsidR="00E6009A">
        <w:t xml:space="preserve">: akýkoľvek spôsob stanovenia </w:t>
      </w:r>
    </w:p>
    <w:p w14:paraId="496A3AD0" w14:textId="3864A929" w:rsidR="00DE0990" w:rsidRDefault="00DE0990" w:rsidP="00DE0990">
      <w:pPr>
        <w:numPr>
          <w:ilvl w:val="0"/>
          <w:numId w:val="5"/>
        </w:numPr>
        <w:ind w:left="709" w:hanging="349"/>
      </w:pPr>
      <w:r>
        <w:t>spôsob určenia typu subjektu: z pomocnej evidencie alebo hodnoty IPO (ak bude príslušne stanovená metodika pre stanovenie hodnôt IPO)</w:t>
      </w:r>
    </w:p>
    <w:p w14:paraId="0B5F27E4" w14:textId="78E7085F" w:rsidR="00DE0990" w:rsidRDefault="00DE0990" w:rsidP="00DE0990">
      <w:pPr>
        <w:numPr>
          <w:ilvl w:val="0"/>
          <w:numId w:val="5"/>
        </w:numPr>
        <w:ind w:left="709" w:hanging="349"/>
      </w:pPr>
      <w:r>
        <w:t>spôsob určenia vzťahu medzi subjektmi: z pomocnej evidencie alebo hodnoty IPO (ak bude príslušne stanovená metodika pre stanovenie hodnôt IPO)</w:t>
      </w:r>
    </w:p>
    <w:p w14:paraId="5C89FFA3" w14:textId="57B7EE33" w:rsidR="00DE0990" w:rsidRDefault="00DE0990" w:rsidP="00DE0990">
      <w:pPr>
        <w:numPr>
          <w:ilvl w:val="0"/>
          <w:numId w:val="5"/>
        </w:numPr>
        <w:ind w:left="709" w:hanging="349"/>
      </w:pPr>
      <w:r>
        <w:t>hodnota vzhľadom na  IČO (8 znakov): IČO je možné určiť len z konverznej tabuľky</w:t>
      </w:r>
    </w:p>
    <w:p w14:paraId="3520F7B1" w14:textId="15659CA9" w:rsidR="00DE0990" w:rsidRDefault="00DE0990" w:rsidP="00E75231">
      <w:pPr>
        <w:numPr>
          <w:ilvl w:val="0"/>
          <w:numId w:val="5"/>
        </w:numPr>
        <w:ind w:left="709" w:hanging="349"/>
      </w:pPr>
      <w:r>
        <w:t xml:space="preserve">hodnota vzhľadom na rozšírenie IČO: </w:t>
      </w:r>
      <w:r w:rsidR="007B6DA0">
        <w:t>rozšírenie IČO je možné určiť len z konverznej tabuľky</w:t>
      </w:r>
    </w:p>
    <w:p w14:paraId="2C563058" w14:textId="77777777" w:rsidR="00E6009A" w:rsidRDefault="00E6009A" w:rsidP="00E6009A">
      <w:r>
        <w:t>Potrebné činnosti pre realizovateľnosť prístupu</w:t>
      </w:r>
    </w:p>
    <w:p w14:paraId="116093E4" w14:textId="77777777" w:rsidR="00E6009A" w:rsidRDefault="00E6009A" w:rsidP="00E6009A">
      <w:pPr>
        <w:numPr>
          <w:ilvl w:val="0"/>
          <w:numId w:val="5"/>
        </w:numPr>
        <w:ind w:left="709" w:hanging="349"/>
      </w:pPr>
      <w:r>
        <w:t xml:space="preserve">pridelenie nových hodnôt IPO pre všetky subjekty </w:t>
      </w:r>
    </w:p>
    <w:p w14:paraId="70BDA165" w14:textId="0C00B85F" w:rsidR="00E6009A" w:rsidRDefault="00E6009A" w:rsidP="00E6009A">
      <w:pPr>
        <w:numPr>
          <w:ilvl w:val="0"/>
          <w:numId w:val="5"/>
        </w:numPr>
        <w:ind w:left="709" w:hanging="349"/>
      </w:pPr>
      <w:r>
        <w:t xml:space="preserve">vytvorenie a sprístupnenie </w:t>
      </w:r>
      <w:r w:rsidR="007B6DA0">
        <w:t xml:space="preserve">konverznej </w:t>
      </w:r>
      <w:r>
        <w:t>tabuľky IPO-IČO</w:t>
      </w:r>
    </w:p>
    <w:p w14:paraId="41165E2E" w14:textId="77777777" w:rsidR="00E6009A" w:rsidRDefault="00E6009A" w:rsidP="00E6009A">
      <w:r>
        <w:t>Výhody alternatívy</w:t>
      </w:r>
    </w:p>
    <w:p w14:paraId="1227F394" w14:textId="77777777" w:rsidR="00E6009A" w:rsidRDefault="00E6009A" w:rsidP="00E6009A">
      <w:pPr>
        <w:numPr>
          <w:ilvl w:val="0"/>
          <w:numId w:val="5"/>
        </w:numPr>
        <w:ind w:left="709" w:hanging="349"/>
      </w:pPr>
      <w:r>
        <w:t>existencia jednej dĺžky IPO pre všetky subjekty</w:t>
      </w:r>
    </w:p>
    <w:p w14:paraId="2F3A97BA" w14:textId="12ADC1EC" w:rsidR="00E6009A" w:rsidRDefault="00E6009A" w:rsidP="0030600D">
      <w:pPr>
        <w:numPr>
          <w:ilvl w:val="0"/>
          <w:numId w:val="5"/>
        </w:numPr>
        <w:ind w:left="709" w:hanging="349"/>
      </w:pPr>
      <w:r>
        <w:t xml:space="preserve">vytvorenie formátu, ktorý môže naplniť všetky požiadavky </w:t>
      </w:r>
      <w:r w:rsidR="007B6DA0">
        <w:t>na IPO</w:t>
      </w:r>
    </w:p>
    <w:p w14:paraId="75DB760F" w14:textId="77777777" w:rsidR="00E6009A" w:rsidRDefault="00E6009A" w:rsidP="00E6009A">
      <w:r>
        <w:t>Nevýhody alternatívy</w:t>
      </w:r>
    </w:p>
    <w:p w14:paraId="7F4D2631" w14:textId="77777777" w:rsidR="00E6009A" w:rsidRDefault="00E6009A" w:rsidP="00E6009A">
      <w:pPr>
        <w:numPr>
          <w:ilvl w:val="0"/>
          <w:numId w:val="5"/>
        </w:numPr>
        <w:ind w:left="709" w:hanging="349"/>
      </w:pPr>
      <w:r>
        <w:t xml:space="preserve">pridelenie nových hodnôt IPO všetkým subjektom </w:t>
      </w:r>
    </w:p>
    <w:p w14:paraId="0CC083E5" w14:textId="1E316B1F" w:rsidR="00A7792F" w:rsidRDefault="00A7792F" w:rsidP="00E6009A">
      <w:pPr>
        <w:numPr>
          <w:ilvl w:val="0"/>
          <w:numId w:val="5"/>
        </w:numPr>
        <w:ind w:left="709" w:hanging="349"/>
      </w:pPr>
      <w:r>
        <w:t xml:space="preserve">zložitý spôsob prevodu hodnôt IPO-IČO, nutnosť sprístupnenia </w:t>
      </w:r>
      <w:r w:rsidR="007B6DA0">
        <w:t>konverznej</w:t>
      </w:r>
      <w:r>
        <w:t xml:space="preserve"> tabuľky</w:t>
      </w:r>
    </w:p>
    <w:p w14:paraId="4DBF12AC" w14:textId="42295371" w:rsidR="00E6009A" w:rsidRDefault="007B6DA0" w:rsidP="00E6009A">
      <w:pPr>
        <w:numPr>
          <w:ilvl w:val="0"/>
          <w:numId w:val="5"/>
        </w:numPr>
        <w:ind w:left="709" w:hanging="349"/>
      </w:pPr>
      <w:r>
        <w:t xml:space="preserve">možná </w:t>
      </w:r>
      <w:r w:rsidR="00E6009A">
        <w:t>n</w:t>
      </w:r>
      <w:r w:rsidR="00E6009A" w:rsidRPr="00940F07">
        <w:t>utnosť úpravy aplikácií a formulárov na nov</w:t>
      </w:r>
      <w:r w:rsidR="00A7792F">
        <w:t xml:space="preserve">ý formát </w:t>
      </w:r>
      <w:r>
        <w:t xml:space="preserve"> IPO</w:t>
      </w:r>
    </w:p>
    <w:p w14:paraId="6B1BE30E" w14:textId="27E2802E" w:rsidR="00A7792F" w:rsidRDefault="00A7792F" w:rsidP="00E6009A">
      <w:pPr>
        <w:numPr>
          <w:ilvl w:val="0"/>
          <w:numId w:val="5"/>
        </w:numPr>
        <w:ind w:left="709" w:hanging="349"/>
      </w:pPr>
      <w:r>
        <w:t>zmena všetkých hodnôt identifikátorov vo všetkých evidenciách</w:t>
      </w:r>
    </w:p>
    <w:p w14:paraId="40A3FC77" w14:textId="77777777" w:rsidR="00243F95" w:rsidRDefault="00243F95" w:rsidP="00243F95">
      <w:pPr>
        <w:numPr>
          <w:ilvl w:val="0"/>
          <w:numId w:val="5"/>
        </w:numPr>
        <w:ind w:left="709" w:hanging="349"/>
      </w:pPr>
      <w:r>
        <w:t xml:space="preserve">zmena názvu a akronymu identifikátora, ktoré sa v súčasnosti používajú v oficiálnych listinách vydávaných a potvrdzovaných orgánmi verejnej moci </w:t>
      </w:r>
    </w:p>
    <w:p w14:paraId="0270E64C" w14:textId="00701F3C" w:rsidR="00296A52" w:rsidRDefault="00BB0BFE" w:rsidP="00BB0BFE">
      <w:pPr>
        <w:pStyle w:val="Nadpis2"/>
        <w:tabs>
          <w:tab w:val="left" w:pos="431"/>
        </w:tabs>
        <w:ind w:left="578" w:hanging="578"/>
      </w:pPr>
      <w:bookmarkStart w:id="11" w:name="_Toc399517896"/>
      <w:r w:rsidRPr="000D6614">
        <w:lastRenderedPageBreak/>
        <w:t xml:space="preserve">Spôsob zavedenia </w:t>
      </w:r>
      <w:r w:rsidR="00E63F69">
        <w:t xml:space="preserve">a podpora používania </w:t>
      </w:r>
      <w:r w:rsidRPr="000D6614">
        <w:t>IPO</w:t>
      </w:r>
      <w:bookmarkEnd w:id="11"/>
    </w:p>
    <w:p w14:paraId="0CD3621D" w14:textId="3A94FA80" w:rsidR="00EF603B" w:rsidRDefault="00EF603B" w:rsidP="00EF603B">
      <w:r>
        <w:t>S</w:t>
      </w:r>
      <w:r w:rsidRPr="00EF603B">
        <w:t>p</w:t>
      </w:r>
      <w:r>
        <w:t>ô</w:t>
      </w:r>
      <w:r w:rsidRPr="00EF603B">
        <w:t>sob zavedenie</w:t>
      </w:r>
      <w:r>
        <w:t xml:space="preserve"> IPO </w:t>
      </w:r>
      <w:r w:rsidRPr="00EF603B">
        <w:t>je v</w:t>
      </w:r>
      <w:r>
        <w:t>ýznamne ovplyvnený</w:t>
      </w:r>
      <w:r w:rsidRPr="00EF603B">
        <w:t xml:space="preserve"> rozhodnu</w:t>
      </w:r>
      <w:r>
        <w:t>tí</w:t>
      </w:r>
      <w:r w:rsidRPr="00EF603B">
        <w:t>m o</w:t>
      </w:r>
      <w:r>
        <w:t xml:space="preserve"> spôsobe stanovenia hodnoty IPO. </w:t>
      </w:r>
      <w:r w:rsidRPr="00EF603B">
        <w:t>V tejto kapitole sú uvedené m</w:t>
      </w:r>
      <w:r>
        <w:t>o</w:t>
      </w:r>
      <w:r w:rsidRPr="00EF603B">
        <w:t xml:space="preserve">žné prístupy </w:t>
      </w:r>
      <w:r>
        <w:t xml:space="preserve">zavedenia IPO </w:t>
      </w:r>
      <w:r w:rsidRPr="00EF603B">
        <w:t xml:space="preserve">aj keď nie všetky sú </w:t>
      </w:r>
      <w:r>
        <w:t xml:space="preserve">reálne </w:t>
      </w:r>
      <w:r w:rsidRPr="00EF603B">
        <w:t xml:space="preserve">pri všetkých </w:t>
      </w:r>
      <w:r>
        <w:t>spôsoboch stanovenia hodnoty</w:t>
      </w:r>
      <w:r w:rsidRPr="00EF603B">
        <w:t xml:space="preserve"> IPO</w:t>
      </w:r>
      <w:r w:rsidR="00731D9C">
        <w:t xml:space="preserve"> uveden</w:t>
      </w:r>
      <w:r w:rsidR="00EC502C">
        <w:t>ých</w:t>
      </w:r>
      <w:r w:rsidR="00731D9C">
        <w:t xml:space="preserve"> v kapitole </w:t>
      </w:r>
      <w:r w:rsidR="00731D9C">
        <w:fldChar w:fldCharType="begin"/>
      </w:r>
      <w:r w:rsidR="00731D9C">
        <w:instrText xml:space="preserve"> REF _Ref396214277 \r \h </w:instrText>
      </w:r>
      <w:r w:rsidR="00731D9C">
        <w:fldChar w:fldCharType="separate"/>
      </w:r>
      <w:r w:rsidR="00004328">
        <w:t>3.1</w:t>
      </w:r>
      <w:r w:rsidR="00731D9C">
        <w:fldChar w:fldCharType="end"/>
      </w:r>
      <w:r w:rsidRPr="00EF603B">
        <w:t>.</w:t>
      </w:r>
    </w:p>
    <w:p w14:paraId="092C4CBF" w14:textId="4AFB038A" w:rsidR="00E63F69" w:rsidRPr="009129F3" w:rsidRDefault="00603A35" w:rsidP="00603A35">
      <w:pPr>
        <w:rPr>
          <w:highlight w:val="yellow"/>
        </w:rPr>
      </w:pPr>
      <w:r w:rsidRPr="000D6614">
        <w:t xml:space="preserve">Z pohľadu používania IPO je potrebné zabezpečiť podporu </w:t>
      </w:r>
      <w:r>
        <w:t>pre vzájomnú konverziu hodnôt IPO–IČO.</w:t>
      </w:r>
    </w:p>
    <w:p w14:paraId="403F9FFE" w14:textId="686AF9F7" w:rsidR="00BB0BFE" w:rsidRPr="000D6614" w:rsidRDefault="00E63F69" w:rsidP="00ED444F">
      <w:pPr>
        <w:pStyle w:val="Nadpis3"/>
      </w:pPr>
      <w:r>
        <w:t xml:space="preserve">Spôsob zavedenia: </w:t>
      </w:r>
      <w:r w:rsidR="00BB0BFE" w:rsidRPr="000D6614">
        <w:t>Okamžitá zmena</w:t>
      </w:r>
    </w:p>
    <w:p w14:paraId="63E9A2F5" w14:textId="0D282CE8" w:rsidR="00BB0BFE" w:rsidRDefault="00EF603B" w:rsidP="00296A52">
      <w:r>
        <w:t>Používanie IPO je možné</w:t>
      </w:r>
      <w:r w:rsidR="005F653A">
        <w:t xml:space="preserve"> zaviesť </w:t>
      </w:r>
      <w:r w:rsidR="00BB0BFE" w:rsidRPr="000D6614">
        <w:t>formou okamžitej zmeny k pevne stanovenému termínu</w:t>
      </w:r>
      <w:r w:rsidR="005F653A">
        <w:t xml:space="preserve">. Od stanoveného termínu by bolo ukončené používanie IČO a identifikácia subjektov by bola realizovaná len prostredníctvom IPO. Takýto prístup </w:t>
      </w:r>
      <w:r w:rsidR="00BB0BFE" w:rsidRPr="000D6614">
        <w:t xml:space="preserve">odstraňuje problémy vyplývajúce z nutnosti podpory </w:t>
      </w:r>
      <w:r w:rsidR="005F653A">
        <w:t xml:space="preserve">rôznych foriem identifikácie subjektu v stanovenom období. Vytvára to však  </w:t>
      </w:r>
      <w:r w:rsidR="00BB0BFE" w:rsidRPr="000D6614">
        <w:t xml:space="preserve">veľké nároky na koordináciu a pripravenosť k stanovenému termínu. Keďže </w:t>
      </w:r>
      <w:r w:rsidR="005F653A">
        <w:t xml:space="preserve">zavedenie IPO predstavuje </w:t>
      </w:r>
      <w:r w:rsidR="00BB0BFE" w:rsidRPr="000D6614">
        <w:t>zmenu, ktorá má dopad na celú spoločnosť</w:t>
      </w:r>
      <w:r w:rsidR="00731D9C">
        <w:t>,</w:t>
      </w:r>
      <w:r w:rsidR="00BB0BFE" w:rsidRPr="000D6614">
        <w:t xml:space="preserve"> je takýto prístup komplikovaný.</w:t>
      </w:r>
    </w:p>
    <w:p w14:paraId="2E9BD037" w14:textId="5CBFEB9B" w:rsidR="005F653A" w:rsidRDefault="005F653A" w:rsidP="00296A52">
      <w:r>
        <w:t xml:space="preserve">Všeobecne je realizovateľnosť takého prístupu vyššia v prípade ak spôsob stanovenia hodnoty IPO je zvolený tak, že rozdiely medzi hodnotami IPO a IČO sú menšie. </w:t>
      </w:r>
    </w:p>
    <w:p w14:paraId="04963BA2" w14:textId="28AE8C6A" w:rsidR="00EF603B" w:rsidRDefault="00EF603B" w:rsidP="00EF603B">
      <w:r>
        <w:t xml:space="preserve">Výhody </w:t>
      </w:r>
    </w:p>
    <w:p w14:paraId="127A5626" w14:textId="1A3F7037" w:rsidR="00EF603B" w:rsidRDefault="005F653A" w:rsidP="00EF603B">
      <w:pPr>
        <w:numPr>
          <w:ilvl w:val="0"/>
          <w:numId w:val="5"/>
        </w:numPr>
        <w:ind w:left="709" w:hanging="349"/>
      </w:pPr>
      <w:r>
        <w:t>existencia len jedného identifikátora v každom čase (nie je nutné zabezpečiť podporu viacerých identifikátorov v rovnakom čase)</w:t>
      </w:r>
    </w:p>
    <w:p w14:paraId="2AF65FD2" w14:textId="74CE480A" w:rsidR="00EF603B" w:rsidRDefault="00EF603B" w:rsidP="00EF603B">
      <w:r>
        <w:t xml:space="preserve">Nevýhody </w:t>
      </w:r>
    </w:p>
    <w:p w14:paraId="48C6B668" w14:textId="345AE358" w:rsidR="00EF603B" w:rsidRDefault="005F653A" w:rsidP="00EF603B">
      <w:pPr>
        <w:numPr>
          <w:ilvl w:val="0"/>
          <w:numId w:val="5"/>
        </w:numPr>
        <w:ind w:left="709" w:hanging="349"/>
      </w:pPr>
      <w:r>
        <w:t>náročná koordinácia</w:t>
      </w:r>
    </w:p>
    <w:p w14:paraId="12F5109A" w14:textId="7FEA4B07" w:rsidR="005F653A" w:rsidRDefault="005F653A" w:rsidP="00EF603B">
      <w:pPr>
        <w:numPr>
          <w:ilvl w:val="0"/>
          <w:numId w:val="5"/>
        </w:numPr>
        <w:ind w:left="709" w:hanging="349"/>
      </w:pPr>
      <w:r>
        <w:t xml:space="preserve">nutnosť rozsiahlej publicity a vytvorenia </w:t>
      </w:r>
      <w:r w:rsidR="000A75DC">
        <w:t>povedomia o novom identifikátore k stanovenému termínu</w:t>
      </w:r>
    </w:p>
    <w:p w14:paraId="151D6DC5" w14:textId="234780FE" w:rsidR="00BB0BFE" w:rsidRPr="000D6614" w:rsidRDefault="00E63F69" w:rsidP="00ED444F">
      <w:pPr>
        <w:pStyle w:val="Nadpis3"/>
      </w:pPr>
      <w:r>
        <w:t xml:space="preserve">Spôsob zavedenia: </w:t>
      </w:r>
      <w:r w:rsidR="00BB0BFE" w:rsidRPr="000D6614">
        <w:t>Prechodné obdobie</w:t>
      </w:r>
    </w:p>
    <w:p w14:paraId="2C205E60" w14:textId="7AFAA9AD" w:rsidR="000A75DC" w:rsidRDefault="004C1710" w:rsidP="00296A52">
      <w:r>
        <w:t>Alternatívou k zavedeniu IPO okamžitou zmenou je stanovenie prechodného obdobia, v ktorom by bolo možné používať oba identifikátory. Je možné zovšeobecnenie, že identifikátor subjektu sa používa pre identifikáciu subjektu pri poskytovaní služieb</w:t>
      </w:r>
      <w:r w:rsidR="00DC5303">
        <w:t>. Preto pri zvažovaní paralelného používania rôznych identifikátorov v stanovenom období je možné posudzovať alternatívy, ktoré vyplývajú z rozhodnuti</w:t>
      </w:r>
      <w:r w:rsidR="00391DED">
        <w:t>a</w:t>
      </w:r>
      <w:r w:rsidR="00DC5303">
        <w:t>, kto v rámci poskytovania služby rozhodne ktorý identifikátor (IČO, IPO) sa použije.</w:t>
      </w:r>
    </w:p>
    <w:p w14:paraId="5DB10A34" w14:textId="1C6B2F9A" w:rsidR="00675691" w:rsidRDefault="00DC5303" w:rsidP="00225C39">
      <w:pPr>
        <w:numPr>
          <w:ilvl w:val="0"/>
          <w:numId w:val="5"/>
        </w:numPr>
        <w:ind w:left="709" w:hanging="349"/>
      </w:pPr>
      <w:r>
        <w:t xml:space="preserve">Poskytovateľ služby rozhodne o používanom identifikátore - </w:t>
      </w:r>
      <w:r w:rsidR="00675691" w:rsidRPr="000D6614">
        <w:t>subjekt sa rozhodne, ktorý identifikátor bude používať pri poskytovaní vlastných služieb</w:t>
      </w:r>
      <w:r w:rsidR="00225C39" w:rsidRPr="000D6614">
        <w:t xml:space="preserve"> v prechodnom období (ktorý identifikátor bude požadovať od klientov </w:t>
      </w:r>
      <w:r w:rsidR="00225C39" w:rsidRPr="000D6614">
        <w:lastRenderedPageBreak/>
        <w:t xml:space="preserve">v prechodnom období) -  v tomto prípade žiadatelia o službu subjektu budú musieť </w:t>
      </w:r>
      <w:r w:rsidR="00765426" w:rsidRPr="000D6614">
        <w:t>poskytovať</w:t>
      </w:r>
      <w:r>
        <w:t xml:space="preserve"> ten </w:t>
      </w:r>
      <w:r w:rsidR="00225C39" w:rsidRPr="000D6614">
        <w:t xml:space="preserve"> identifikátor, ktorý subjekt požaduje (žiadatelia si budú musieť </w:t>
      </w:r>
      <w:r>
        <w:t>zistiť príslušný identifikátor)</w:t>
      </w:r>
    </w:p>
    <w:p w14:paraId="58B02DE7" w14:textId="4F142356" w:rsidR="00DC5303" w:rsidRDefault="00DC5303" w:rsidP="00DC5303">
      <w:pPr>
        <w:ind w:left="708"/>
      </w:pPr>
      <w:r>
        <w:t>Výhody</w:t>
      </w:r>
    </w:p>
    <w:p w14:paraId="6457290C" w14:textId="0A9A467D" w:rsidR="00DC5303" w:rsidRDefault="00DC5303" w:rsidP="00DC5303">
      <w:pPr>
        <w:numPr>
          <w:ilvl w:val="1"/>
          <w:numId w:val="5"/>
        </w:numPr>
      </w:pPr>
      <w:r>
        <w:t>možnosť prípravy poskytovateľov služieb počas prechodného obdobia</w:t>
      </w:r>
    </w:p>
    <w:p w14:paraId="1A6DBDA4" w14:textId="5B8EE979" w:rsidR="00DC5303" w:rsidRDefault="00DC5303" w:rsidP="00DC5303">
      <w:pPr>
        <w:numPr>
          <w:ilvl w:val="1"/>
          <w:numId w:val="5"/>
        </w:numPr>
      </w:pPr>
      <w:r>
        <w:t xml:space="preserve">v prípade problémov so zmenou je možné </w:t>
      </w:r>
      <w:r w:rsidR="00C67431">
        <w:t>využiť pôvodné riešenie</w:t>
      </w:r>
    </w:p>
    <w:p w14:paraId="79DDDA7F" w14:textId="574099BF" w:rsidR="00DC5303" w:rsidRDefault="00DC5303" w:rsidP="00DC5303">
      <w:pPr>
        <w:ind w:left="708"/>
      </w:pPr>
      <w:r>
        <w:t>Nevýhody</w:t>
      </w:r>
    </w:p>
    <w:p w14:paraId="529C74FB" w14:textId="618A1D7E" w:rsidR="00DC5303" w:rsidRPr="000D6614" w:rsidRDefault="00391DED" w:rsidP="00DC5303">
      <w:pPr>
        <w:numPr>
          <w:ilvl w:val="1"/>
          <w:numId w:val="5"/>
        </w:numPr>
      </w:pPr>
      <w:r>
        <w:t xml:space="preserve">pravdepodobnosť </w:t>
      </w:r>
      <w:r w:rsidR="000C6E78">
        <w:t>ch</w:t>
      </w:r>
      <w:r>
        <w:t>ý</w:t>
      </w:r>
      <w:r w:rsidR="000C6E78">
        <w:t>b z dôvodu poskytnutia nesprávneho identifikátora žiadateľmi o službu</w:t>
      </w:r>
    </w:p>
    <w:p w14:paraId="6BE149B9" w14:textId="5996D67C" w:rsidR="00225C39" w:rsidRPr="00D02E0C" w:rsidRDefault="00391DED" w:rsidP="00225C39">
      <w:pPr>
        <w:numPr>
          <w:ilvl w:val="0"/>
          <w:numId w:val="5"/>
        </w:numPr>
        <w:ind w:left="709" w:hanging="349"/>
      </w:pPr>
      <w:r>
        <w:t xml:space="preserve">Žiadateľ o službu rozhodne o používanom identifikátore - </w:t>
      </w:r>
      <w:r w:rsidR="00225C39" w:rsidRPr="00391DED">
        <w:t>žia</w:t>
      </w:r>
      <w:r w:rsidR="00225C39" w:rsidRPr="000D6614">
        <w:t>dateľ o službu môže použiť ktorýkoľvek identifikátor v prechodnom období – takýto prístup vedie k</w:t>
      </w:r>
      <w:r>
        <w:t> </w:t>
      </w:r>
      <w:r w:rsidR="00225C39" w:rsidRPr="000D6614">
        <w:t>nutnosti</w:t>
      </w:r>
      <w:r>
        <w:t>,</w:t>
      </w:r>
      <w:r w:rsidR="00225C39" w:rsidRPr="000D6614">
        <w:t xml:space="preserve"> aby poskytovatelia služieb upravili formuláre a umožnili uvádzať ktorýkoľvek identifikátor</w:t>
      </w:r>
      <w:r>
        <w:t>. Keďže poskytovatelia služieb musia byť pripravení na využívanie IPO ihneď (k stanovenému termínu</w:t>
      </w:r>
      <w:r w:rsidRPr="00D02E0C">
        <w:t>), reálne sa jedná o spôsob obdobný okamžitej zmene</w:t>
      </w:r>
      <w:r>
        <w:t>.</w:t>
      </w:r>
    </w:p>
    <w:p w14:paraId="7BD0D1EE" w14:textId="77777777" w:rsidR="00391DED" w:rsidRDefault="00391DED" w:rsidP="00391DED">
      <w:pPr>
        <w:ind w:left="708"/>
      </w:pPr>
      <w:r>
        <w:t>Výhody</w:t>
      </w:r>
    </w:p>
    <w:p w14:paraId="15128C5A" w14:textId="790FAF50" w:rsidR="00391DED" w:rsidRDefault="00A60C8D" w:rsidP="00391DED">
      <w:pPr>
        <w:numPr>
          <w:ilvl w:val="1"/>
          <w:numId w:val="5"/>
        </w:numPr>
      </w:pPr>
      <w:r>
        <w:t>postupné prispôsobenie používateľov služby na používanie IPO</w:t>
      </w:r>
    </w:p>
    <w:p w14:paraId="09B3ADDD" w14:textId="77777777" w:rsidR="00391DED" w:rsidRDefault="00391DED" w:rsidP="00391DED">
      <w:pPr>
        <w:ind w:left="708"/>
      </w:pPr>
      <w:r>
        <w:t>Nevýhody</w:t>
      </w:r>
    </w:p>
    <w:p w14:paraId="4D21B34D" w14:textId="3B916A60" w:rsidR="00391DED" w:rsidRDefault="00A60C8D" w:rsidP="00391DED">
      <w:pPr>
        <w:numPr>
          <w:ilvl w:val="1"/>
          <w:numId w:val="5"/>
        </w:numPr>
      </w:pPr>
      <w:r>
        <w:t xml:space="preserve">nutnosť pripravenosti využívať IPO okamžite (k pevne stanovenému termínu) </w:t>
      </w:r>
    </w:p>
    <w:p w14:paraId="70163E1C" w14:textId="149FAC6A" w:rsidR="00A60C8D" w:rsidRPr="000D6614" w:rsidRDefault="00A60C8D" w:rsidP="00391DED">
      <w:pPr>
        <w:numPr>
          <w:ilvl w:val="1"/>
          <w:numId w:val="5"/>
        </w:numPr>
      </w:pPr>
      <w:r>
        <w:t>potreba podpory využívania dvoch identifikátorov počas stanoveného obdobia</w:t>
      </w:r>
    </w:p>
    <w:p w14:paraId="3CD6406F" w14:textId="77777777" w:rsidR="00675691" w:rsidRPr="000D6614" w:rsidRDefault="00FD3C07" w:rsidP="00ED444F">
      <w:pPr>
        <w:pStyle w:val="Nadpis3"/>
      </w:pPr>
      <w:r w:rsidRPr="000D6614">
        <w:t>Podpora používania IPO</w:t>
      </w:r>
    </w:p>
    <w:p w14:paraId="6EFF1368" w14:textId="7F559885" w:rsidR="009129F3" w:rsidRDefault="009129F3" w:rsidP="009129F3">
      <w:r>
        <w:t xml:space="preserve">Prechod na používanie nového identifikátora si vyžaduje vytvorenie a sprístupnenie predpokladov pre: </w:t>
      </w:r>
    </w:p>
    <w:p w14:paraId="4A986EF9" w14:textId="77777777" w:rsidR="009129F3" w:rsidRDefault="009129F3" w:rsidP="009129F3">
      <w:pPr>
        <w:numPr>
          <w:ilvl w:val="0"/>
          <w:numId w:val="5"/>
        </w:numPr>
        <w:ind w:left="709" w:hanging="349"/>
      </w:pPr>
      <w:r>
        <w:t>stanovenie hodnoty nového identifikátora,</w:t>
      </w:r>
    </w:p>
    <w:p w14:paraId="54E61967" w14:textId="77777777" w:rsidR="009129F3" w:rsidRPr="00EF603B" w:rsidRDefault="009129F3" w:rsidP="009129F3">
      <w:pPr>
        <w:numPr>
          <w:ilvl w:val="0"/>
          <w:numId w:val="5"/>
        </w:numPr>
        <w:ind w:left="709" w:hanging="349"/>
      </w:pPr>
      <w:r>
        <w:t>zabezpečenie plynulej komunikácie medzi subjektmi napriek platnosti oboch identifikátorov v definovanom období.</w:t>
      </w:r>
    </w:p>
    <w:p w14:paraId="2B0EB9EA" w14:textId="23C2A116" w:rsidR="009129F3" w:rsidRDefault="009129F3" w:rsidP="00296A52">
      <w:r>
        <w:t>Jedná sa o zabezpečenie vzájomnej konverzie hodnôt IPO–IČO</w:t>
      </w:r>
      <w:r w:rsidR="005A2C4D">
        <w:t xml:space="preserve"> a osobitného identifikátora</w:t>
      </w:r>
      <w:r>
        <w:t>. Z pohľadu využiteľnosti je to možné rozdeliť na:</w:t>
      </w:r>
    </w:p>
    <w:p w14:paraId="7AAA2CF1" w14:textId="1339EA05" w:rsidR="009129F3" w:rsidRDefault="009129F3" w:rsidP="00603A35">
      <w:pPr>
        <w:numPr>
          <w:ilvl w:val="0"/>
          <w:numId w:val="5"/>
        </w:numPr>
        <w:ind w:left="709" w:hanging="349"/>
      </w:pPr>
      <w:r>
        <w:t>individuálnu konverziu (konverziu hodnoty identifikátora pre jeden subjekt)</w:t>
      </w:r>
      <w:r w:rsidR="00603A35">
        <w:t>,</w:t>
      </w:r>
    </w:p>
    <w:p w14:paraId="5959BC07" w14:textId="533B0F70" w:rsidR="009129F3" w:rsidRDefault="00603A35" w:rsidP="00603A35">
      <w:pPr>
        <w:numPr>
          <w:ilvl w:val="0"/>
          <w:numId w:val="5"/>
        </w:numPr>
        <w:ind w:left="709" w:hanging="349"/>
      </w:pPr>
      <w:r>
        <w:t>dávkovú konverziu.</w:t>
      </w:r>
    </w:p>
    <w:p w14:paraId="04E8FD1C" w14:textId="77777777" w:rsidR="001C031F" w:rsidRPr="000D6614" w:rsidRDefault="001C031F" w:rsidP="00F6695F">
      <w:pPr>
        <w:pStyle w:val="Nadpis4"/>
      </w:pPr>
      <w:r w:rsidRPr="000D6614">
        <w:lastRenderedPageBreak/>
        <w:t>Individuálna konverzia</w:t>
      </w:r>
    </w:p>
    <w:p w14:paraId="7942C4E8" w14:textId="526D04D7" w:rsidR="001C031F" w:rsidRPr="000D6614" w:rsidRDefault="001C031F" w:rsidP="00296A52">
      <w:r w:rsidRPr="000D6614">
        <w:t xml:space="preserve">Individuálnu konverziu zabezpečia služby RPO </w:t>
      </w:r>
      <w:r w:rsidR="0053430E">
        <w:t xml:space="preserve">zamerané na vyhľadanie a poskytnutie údajov o subjekte </w:t>
      </w:r>
      <w:r w:rsidRPr="000D6614">
        <w:t xml:space="preserve">nakoľko </w:t>
      </w:r>
      <w:r w:rsidR="00765426" w:rsidRPr="000D6614">
        <w:t>budú</w:t>
      </w:r>
      <w:r w:rsidRPr="000D6614">
        <w:t xml:space="preserve"> musieť poskytovať oba identifikátory </w:t>
      </w:r>
      <w:r w:rsidR="00765426" w:rsidRPr="000D6614">
        <w:t>subjektu</w:t>
      </w:r>
      <w:r w:rsidRPr="000D6614">
        <w:t xml:space="preserve"> a umožňovať vyhľadávať subjekty na základe ktoréhokoľvek identifikátora. </w:t>
      </w:r>
    </w:p>
    <w:p w14:paraId="1188EFC9" w14:textId="77777777" w:rsidR="001C031F" w:rsidRPr="000D6614" w:rsidRDefault="001C031F" w:rsidP="00F6695F">
      <w:pPr>
        <w:pStyle w:val="Nadpis4"/>
      </w:pPr>
      <w:r w:rsidRPr="000D6614">
        <w:t>Dávková konverzia</w:t>
      </w:r>
    </w:p>
    <w:p w14:paraId="1DCA02DD" w14:textId="5DEF58C7" w:rsidR="004D091A" w:rsidRPr="000D6614" w:rsidRDefault="004D091A" w:rsidP="004D091A">
      <w:r>
        <w:t>Dávkovú konverziu</w:t>
      </w:r>
      <w:r w:rsidRPr="000D6614">
        <w:t xml:space="preserve"> budú subjekty využívať: </w:t>
      </w:r>
    </w:p>
    <w:p w14:paraId="69DC9E6A" w14:textId="77777777" w:rsidR="004D091A" w:rsidRPr="000D6614" w:rsidRDefault="004D091A" w:rsidP="004D091A">
      <w:pPr>
        <w:numPr>
          <w:ilvl w:val="0"/>
          <w:numId w:val="5"/>
        </w:numPr>
        <w:ind w:left="709" w:hanging="349"/>
      </w:pPr>
      <w:r w:rsidRPr="000D6614">
        <w:t>pri výmene údajov (ak používajú rôzne identifikátory),</w:t>
      </w:r>
    </w:p>
    <w:p w14:paraId="4FB6494F" w14:textId="77777777" w:rsidR="004D091A" w:rsidRPr="000D6614" w:rsidRDefault="004D091A" w:rsidP="004D091A">
      <w:pPr>
        <w:numPr>
          <w:ilvl w:val="0"/>
          <w:numId w:val="5"/>
        </w:numPr>
        <w:ind w:left="709" w:hanging="349"/>
      </w:pPr>
      <w:r>
        <w:t xml:space="preserve">pri </w:t>
      </w:r>
      <w:r w:rsidRPr="000D6614">
        <w:t>konverzii vlastnej evidencie (keď budú prechádzať na IPO).</w:t>
      </w:r>
    </w:p>
    <w:p w14:paraId="63B4C408" w14:textId="1BCC245D" w:rsidR="007038A5" w:rsidRDefault="007038A5" w:rsidP="00296A52">
      <w:r>
        <w:t>Význam a dôležitosť nástroja pre dávkovú konverziu je ovplyvnený výberom spôsobu stanovenia hodnoty IPO. V prípade ak bude zvolený spôsob stanovenia hodnoty</w:t>
      </w:r>
      <w:r w:rsidR="006836E7">
        <w:t xml:space="preserve"> IPO</w:t>
      </w:r>
      <w:r>
        <w:t>, ktorý bude viesť k náhodne vytvoreným hodnotám IPO (nebude existovať jednoznačný postup vytvorenia hodnoty IPO z IČO)</w:t>
      </w:r>
      <w:r w:rsidR="00C67431">
        <w:t>,</w:t>
      </w:r>
      <w:r w:rsidR="004D091A">
        <w:t xml:space="preserve"> je kritickým bodom zavedenia a využívania IPO vytvorenie a dostupnosť konverznej tabuľky. Vzhľadom na spôsob a rozsah využívania identifikátora v spoločnosti je predpoklad veľmi intenzívneho využívania konverznej tabuľky (resp. príslušných nástrojov), čo je potrebné zohľadniť pri jej návrhu a realizácii. </w:t>
      </w:r>
    </w:p>
    <w:p w14:paraId="1404E91C" w14:textId="78DBE009" w:rsidR="004D091A" w:rsidRPr="000D6614" w:rsidRDefault="004D091A" w:rsidP="004D091A">
      <w:r w:rsidRPr="000D6614">
        <w:t>V</w:t>
      </w:r>
      <w:r>
        <w:t> </w:t>
      </w:r>
      <w:r w:rsidRPr="000D6614">
        <w:t>prípade</w:t>
      </w:r>
      <w:r>
        <w:t>,</w:t>
      </w:r>
      <w:r w:rsidRPr="000D6614">
        <w:t xml:space="preserve"> ak bude zvolený </w:t>
      </w:r>
      <w:r>
        <w:t xml:space="preserve">spôsob stanovenia hodnôt </w:t>
      </w:r>
      <w:r w:rsidRPr="000D6614">
        <w:t xml:space="preserve">IPO </w:t>
      </w:r>
      <w:r>
        <w:t>na základe jednoznačného postupu vytvorenia hodnoty IPO z IČO, je možné záťaž na centrálnu dávkovú konverziu obmedziť, nakoľko</w:t>
      </w:r>
      <w:r w:rsidRPr="000D6614">
        <w:t xml:space="preserve"> bude možné využiť aj zverejnenie metodiky pre implementovanie konverzie </w:t>
      </w:r>
      <w:r>
        <w:t>priamo na strane subjektov (</w:t>
      </w:r>
      <w:r w:rsidRPr="000D6614">
        <w:t>v príslušných IS</w:t>
      </w:r>
      <w:r>
        <w:t>)</w:t>
      </w:r>
      <w:r w:rsidRPr="000D6614">
        <w:t>.</w:t>
      </w:r>
    </w:p>
    <w:p w14:paraId="4CFA4C3C" w14:textId="26AF64F5" w:rsidR="001C031F" w:rsidRPr="000D6614" w:rsidRDefault="00CC7AA5" w:rsidP="00296A52">
      <w:r w:rsidRPr="000D6614">
        <w:t>V</w:t>
      </w:r>
      <w:r w:rsidR="003E3124">
        <w:t> </w:t>
      </w:r>
      <w:r w:rsidRPr="000D6614">
        <w:t>prípade</w:t>
      </w:r>
      <w:r w:rsidR="003E3124">
        <w:t>,</w:t>
      </w:r>
      <w:r w:rsidRPr="000D6614">
        <w:t xml:space="preserve"> ak subjekty pri svojej činnosti komunikujú prostredníctvom dávok, ktoré obsahujú identifikátory subjektov, je nutné zabezpečiť v prechodnom období, aby dávka bola použiteľná aj v prípade ak </w:t>
      </w:r>
      <w:r w:rsidR="006C17A5">
        <w:t>príslušné</w:t>
      </w:r>
      <w:r w:rsidR="006836E7">
        <w:t xml:space="preserve"> </w:t>
      </w:r>
      <w:r w:rsidRPr="000D6614">
        <w:t>subjekty nepoužívajú rovnaký identifikátor. V</w:t>
      </w:r>
      <w:r w:rsidR="003E3124">
        <w:t> </w:t>
      </w:r>
      <w:r w:rsidRPr="000D6614">
        <w:t>prípade</w:t>
      </w:r>
      <w:r w:rsidR="003E3124">
        <w:t>,</w:t>
      </w:r>
      <w:r w:rsidRPr="000D6614">
        <w:t xml:space="preserve"> ak sa jedná o dávku, ktorá je poskytovaná pre viac odberateľov, je vhodné aby jej poskytovateľ vytváral dávku vo verzii s oboma identifikátormi a žiadateľ využije dávku podľa vlastných možností.</w:t>
      </w:r>
    </w:p>
    <w:p w14:paraId="394B7B21" w14:textId="77777777" w:rsidR="00CC7AA5" w:rsidRPr="000D6614" w:rsidRDefault="00CC7AA5" w:rsidP="00296A52">
      <w:r w:rsidRPr="000D6614">
        <w:t>V</w:t>
      </w:r>
      <w:r w:rsidR="003E3124">
        <w:t> </w:t>
      </w:r>
      <w:r w:rsidRPr="000D6614">
        <w:t>prípade</w:t>
      </w:r>
      <w:r w:rsidR="003E3124">
        <w:t>,</w:t>
      </w:r>
      <w:r w:rsidRPr="000D6614">
        <w:t xml:space="preserve"> ak sa jedná o dávku pre konkrétneho odberateľa</w:t>
      </w:r>
      <w:r w:rsidR="003E3124">
        <w:t>,</w:t>
      </w:r>
      <w:r w:rsidRPr="000D6614">
        <w:t xml:space="preserve"> je spôsob výberu identifikátora na dohode poskytovateľa a odberateľa dávky.</w:t>
      </w:r>
    </w:p>
    <w:p w14:paraId="1FBF78F5" w14:textId="5D683815" w:rsidR="00FD3C07" w:rsidRDefault="00D53FBC" w:rsidP="00ED444F">
      <w:pPr>
        <w:pStyle w:val="Nadpis3"/>
      </w:pPr>
      <w:r w:rsidRPr="00D53FBC">
        <w:t>Spôsob zavedenia a podpora používania IPO</w:t>
      </w:r>
      <w:r>
        <w:t xml:space="preserve"> pre jednotlivé prístupy</w:t>
      </w:r>
    </w:p>
    <w:p w14:paraId="1032C0F2" w14:textId="280F359B" w:rsidR="00D53FBC" w:rsidRDefault="00D53FBC" w:rsidP="00296A52">
      <w:r>
        <w:t xml:space="preserve">V nasledujúcej tabuľke je uvedené poradie náročnosti (počtu zmien) činností pri jednotlivých </w:t>
      </w:r>
      <w:r w:rsidR="005A34CD">
        <w:t>prístupoch</w:t>
      </w:r>
      <w:r>
        <w:t xml:space="preserve">. </w:t>
      </w:r>
      <w:r w:rsidR="00B829AD">
        <w:t xml:space="preserve">Čím je uvedené číslo hodnotenia vyššie je predpokladaná vyššia náročnosť činnosti. </w:t>
      </w:r>
      <w:r>
        <w:t xml:space="preserve">Vo všeobecnosti je možné predpokladať, že pri vyššej náročnosti budú nutné vyššie finančné prostriedky pre implementáciu prístupu a bude vyššia </w:t>
      </w:r>
      <w:r w:rsidRPr="00D53FBC">
        <w:t>administratívna záťaž pri zabezpečovaní zmien súvisiacich so zmenou identifikátora</w:t>
      </w:r>
      <w: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95"/>
        <w:gridCol w:w="3761"/>
        <w:gridCol w:w="4160"/>
      </w:tblGrid>
      <w:tr w:rsidR="00D53FBC" w14:paraId="24C0E595" w14:textId="77777777" w:rsidTr="006831B1">
        <w:tc>
          <w:tcPr>
            <w:tcW w:w="1101" w:type="dxa"/>
            <w:shd w:val="clear" w:color="auto" w:fill="D9D9D9" w:themeFill="background1" w:themeFillShade="D9"/>
          </w:tcPr>
          <w:p w14:paraId="24267133" w14:textId="7DF34446" w:rsidR="00D53FBC" w:rsidRPr="00D53FBC" w:rsidRDefault="00D53FBC" w:rsidP="00D53FBC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Prístup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1D188BE" w14:textId="3E1098C0" w:rsidR="00D53FBC" w:rsidRPr="00D53FBC" w:rsidRDefault="006831B1" w:rsidP="006831B1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6831B1">
              <w:rPr>
                <w:sz w:val="22"/>
                <w:szCs w:val="22"/>
              </w:rPr>
              <w:t>očet zmien hodnôt identifikátorov</w:t>
            </w:r>
          </w:p>
        </w:tc>
        <w:tc>
          <w:tcPr>
            <w:tcW w:w="4238" w:type="dxa"/>
            <w:shd w:val="clear" w:color="auto" w:fill="D9D9D9" w:themeFill="background1" w:themeFillShade="D9"/>
          </w:tcPr>
          <w:p w14:paraId="0E77CB5A" w14:textId="088EDF61" w:rsidR="00D53FBC" w:rsidRPr="00D53FBC" w:rsidRDefault="006831B1" w:rsidP="00D53FBC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6831B1">
              <w:rPr>
                <w:sz w:val="22"/>
                <w:szCs w:val="22"/>
              </w:rPr>
              <w:t>pôsob prevodu medzi identifikátormi</w:t>
            </w:r>
          </w:p>
        </w:tc>
      </w:tr>
      <w:tr w:rsidR="00D53FBC" w14:paraId="0D269664" w14:textId="77777777" w:rsidTr="006831B1">
        <w:tc>
          <w:tcPr>
            <w:tcW w:w="1101" w:type="dxa"/>
          </w:tcPr>
          <w:p w14:paraId="17344D36" w14:textId="788F33E0" w:rsidR="00D53FBC" w:rsidRPr="00D53FBC" w:rsidRDefault="00D53FBC" w:rsidP="00D53FBC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14:paraId="4C82E06A" w14:textId="11B12D92" w:rsidR="00D53FBC" w:rsidRPr="00D53FBC" w:rsidRDefault="006831B1" w:rsidP="00D53FBC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</w:tcPr>
          <w:p w14:paraId="53E82D81" w14:textId="25587B74" w:rsidR="00D53FBC" w:rsidRPr="00D53FBC" w:rsidRDefault="006831B1" w:rsidP="00D53FBC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53FBC" w14:paraId="210768FA" w14:textId="77777777" w:rsidTr="006831B1">
        <w:tc>
          <w:tcPr>
            <w:tcW w:w="1101" w:type="dxa"/>
          </w:tcPr>
          <w:p w14:paraId="1C643CB8" w14:textId="6180739B" w:rsidR="00D53FBC" w:rsidRPr="00D53FBC" w:rsidRDefault="00D53FBC" w:rsidP="00D53FBC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14:paraId="4C7A0FC6" w14:textId="552DF934" w:rsidR="00D53FBC" w:rsidRPr="00D53FBC" w:rsidRDefault="006831B1" w:rsidP="00D53FBC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38" w:type="dxa"/>
          </w:tcPr>
          <w:p w14:paraId="01BBE9DD" w14:textId="57E7A284" w:rsidR="00D53FBC" w:rsidRPr="00D53FBC" w:rsidRDefault="006831B1" w:rsidP="00D53FBC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53FBC" w14:paraId="14EAE983" w14:textId="77777777" w:rsidTr="006831B1">
        <w:tc>
          <w:tcPr>
            <w:tcW w:w="1101" w:type="dxa"/>
          </w:tcPr>
          <w:p w14:paraId="34530050" w14:textId="17DFF91F" w:rsidR="00D53FBC" w:rsidRPr="00D53FBC" w:rsidRDefault="00D53FBC" w:rsidP="00D53FBC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14:paraId="6F3FBE19" w14:textId="01E69108" w:rsidR="00D53FBC" w:rsidRPr="00D53FBC" w:rsidRDefault="006831B1" w:rsidP="006831B1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38" w:type="dxa"/>
          </w:tcPr>
          <w:p w14:paraId="7B6CB865" w14:textId="1A6CE647" w:rsidR="00D53FBC" w:rsidRPr="00D53FBC" w:rsidRDefault="00B829AD" w:rsidP="00D53FBC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53FBC" w14:paraId="07C66954" w14:textId="77777777" w:rsidTr="006831B1">
        <w:tc>
          <w:tcPr>
            <w:tcW w:w="1101" w:type="dxa"/>
          </w:tcPr>
          <w:p w14:paraId="130D12F2" w14:textId="0664DEC0" w:rsidR="00D53FBC" w:rsidRPr="00D53FBC" w:rsidRDefault="00D53FBC" w:rsidP="00D53FBC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14:paraId="779C84E9" w14:textId="6483923B" w:rsidR="00D53FBC" w:rsidRPr="00D53FBC" w:rsidRDefault="006831B1" w:rsidP="00D53FBC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38" w:type="dxa"/>
          </w:tcPr>
          <w:p w14:paraId="4AA3C4EC" w14:textId="4E84CE35" w:rsidR="00D53FBC" w:rsidRPr="00D53FBC" w:rsidRDefault="006831B1" w:rsidP="00D53FBC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53FBC" w14:paraId="0BA109A5" w14:textId="77777777" w:rsidTr="006831B1">
        <w:tc>
          <w:tcPr>
            <w:tcW w:w="1101" w:type="dxa"/>
          </w:tcPr>
          <w:p w14:paraId="61C37BF4" w14:textId="66C21FF9" w:rsidR="00D53FBC" w:rsidRPr="00D53FBC" w:rsidRDefault="00D53FBC" w:rsidP="00D53FBC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14:paraId="23772193" w14:textId="268DDC3C" w:rsidR="00D53FBC" w:rsidRPr="00D53FBC" w:rsidRDefault="006831B1" w:rsidP="00D53FBC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38" w:type="dxa"/>
          </w:tcPr>
          <w:p w14:paraId="2C4FC764" w14:textId="5ECAEF9B" w:rsidR="00D53FBC" w:rsidRPr="00D53FBC" w:rsidRDefault="00B829AD" w:rsidP="00D53FBC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53FBC" w14:paraId="14D085F1" w14:textId="77777777" w:rsidTr="006831B1">
        <w:tc>
          <w:tcPr>
            <w:tcW w:w="1101" w:type="dxa"/>
          </w:tcPr>
          <w:p w14:paraId="3BFBA8E7" w14:textId="40518473" w:rsidR="00D53FBC" w:rsidRPr="00D53FBC" w:rsidRDefault="00D53FBC" w:rsidP="00D53FBC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14:paraId="408B74F8" w14:textId="2B46A930" w:rsidR="00D53FBC" w:rsidRPr="00D53FBC" w:rsidRDefault="006831B1" w:rsidP="00D53FBC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38" w:type="dxa"/>
          </w:tcPr>
          <w:p w14:paraId="411319C6" w14:textId="2A5707E5" w:rsidR="00D53FBC" w:rsidRPr="00D53FBC" w:rsidRDefault="00B829AD" w:rsidP="00D53FBC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53FBC" w14:paraId="0D5E0BF4" w14:textId="77777777" w:rsidTr="006831B1">
        <w:tc>
          <w:tcPr>
            <w:tcW w:w="1101" w:type="dxa"/>
          </w:tcPr>
          <w:p w14:paraId="1EAF2D31" w14:textId="12530653" w:rsidR="00D53FBC" w:rsidRPr="00D53FBC" w:rsidRDefault="00D53FBC" w:rsidP="00D53FBC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14:paraId="416584F2" w14:textId="50D5638A" w:rsidR="00D53FBC" w:rsidRPr="00D53FBC" w:rsidRDefault="006831B1" w:rsidP="00D53FBC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38" w:type="dxa"/>
          </w:tcPr>
          <w:p w14:paraId="6EAA1114" w14:textId="67D695F6" w:rsidR="00D53FBC" w:rsidRPr="00D53FBC" w:rsidRDefault="00B829AD" w:rsidP="00D53FBC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0620B140" w14:textId="170E29DD" w:rsidR="00D53FBC" w:rsidRPr="000D6614" w:rsidRDefault="00ED444F" w:rsidP="00ED444F">
      <w:pPr>
        <w:pStyle w:val="Popis"/>
      </w:pPr>
      <w:r>
        <w:t xml:space="preserve">Tabuľka </w:t>
      </w:r>
      <w:r w:rsidR="00562B36">
        <w:fldChar w:fldCharType="begin"/>
      </w:r>
      <w:r w:rsidR="00562B36">
        <w:instrText xml:space="preserve"> SEQ Tabuľka \* ARABIC </w:instrText>
      </w:r>
      <w:r w:rsidR="00562B36">
        <w:fldChar w:fldCharType="separate"/>
      </w:r>
      <w:r w:rsidR="00004328">
        <w:rPr>
          <w:noProof/>
        </w:rPr>
        <w:t>2</w:t>
      </w:r>
      <w:r w:rsidR="00562B36">
        <w:rPr>
          <w:noProof/>
        </w:rPr>
        <w:fldChar w:fldCharType="end"/>
      </w:r>
      <w:r>
        <w:t>: Hodnotenie prístupov</w:t>
      </w:r>
    </w:p>
    <w:p w14:paraId="1AB6419B" w14:textId="5CFF9606" w:rsidR="00355330" w:rsidRDefault="00355330" w:rsidP="00F55A3B">
      <w:pPr>
        <w:pStyle w:val="Nadpis1"/>
      </w:pPr>
      <w:bookmarkStart w:id="12" w:name="_Toc399517897"/>
      <w:r>
        <w:lastRenderedPageBreak/>
        <w:t>Výber riešenia</w:t>
      </w:r>
      <w:bookmarkEnd w:id="12"/>
    </w:p>
    <w:p w14:paraId="55A9AD25" w14:textId="37BD07FE" w:rsidR="00355330" w:rsidRDefault="00E16C5B" w:rsidP="00355330">
      <w:r>
        <w:t>Ako je zrejmé z predchádzajúcich častí tohoto dokumentu je možné zvoliť rôzny spôsob stanovenia hodnoty IPO a spôsob jeho zavedenia. V</w:t>
      </w:r>
      <w:r w:rsidR="00355330">
        <w:t>zh</w:t>
      </w:r>
      <w:r>
        <w:t>ľa</w:t>
      </w:r>
      <w:r w:rsidR="00355330">
        <w:t>d</w:t>
      </w:r>
      <w:r>
        <w:t>o</w:t>
      </w:r>
      <w:r w:rsidR="00355330">
        <w:t xml:space="preserve">m na význam </w:t>
      </w:r>
      <w:r>
        <w:t>identifikácie právnických osôb</w:t>
      </w:r>
      <w:r w:rsidR="00F4537E">
        <w:t>,  </w:t>
      </w:r>
      <w:r>
        <w:t>podnikateľov</w:t>
      </w:r>
      <w:r w:rsidR="00F4537E">
        <w:t xml:space="preserve"> a organizačných zložiek</w:t>
      </w:r>
      <w:r w:rsidR="00355330">
        <w:t>,</w:t>
      </w:r>
      <w:r>
        <w:t xml:space="preserve"> </w:t>
      </w:r>
      <w:r w:rsidR="00355330">
        <w:t>rozsah jeho používania v spoločnosti a požiadavky kladené na IPO</w:t>
      </w:r>
      <w:r w:rsidR="006C17A5">
        <w:t>,</w:t>
      </w:r>
      <w:r w:rsidR="00355330">
        <w:t xml:space="preserve"> javí </w:t>
      </w:r>
      <w:r w:rsidR="006202F6">
        <w:t xml:space="preserve">sa </w:t>
      </w:r>
      <w:r w:rsidR="00355330">
        <w:t>vhodným riešenie, ktoré maxim</w:t>
      </w:r>
      <w:r>
        <w:t>á</w:t>
      </w:r>
      <w:r w:rsidR="00355330">
        <w:t>lne využije exis</w:t>
      </w:r>
      <w:r>
        <w:t>tujúci identifikátor (IČO</w:t>
      </w:r>
      <w:r w:rsidR="00F4537E">
        <w:t xml:space="preserve"> a osobitný identifikátor</w:t>
      </w:r>
      <w:r>
        <w:t>). To znamená:</w:t>
      </w:r>
    </w:p>
    <w:p w14:paraId="3C766521" w14:textId="245698A1" w:rsidR="00355330" w:rsidRDefault="00E16C5B" w:rsidP="00E16C5B">
      <w:pPr>
        <w:numPr>
          <w:ilvl w:val="0"/>
          <w:numId w:val="5"/>
        </w:numPr>
        <w:ind w:left="709" w:hanging="349"/>
      </w:pPr>
      <w:r>
        <w:t xml:space="preserve">vedie k </w:t>
      </w:r>
      <w:r w:rsidR="00355330">
        <w:t>nutnosti pride</w:t>
      </w:r>
      <w:r>
        <w:t xml:space="preserve">liť </w:t>
      </w:r>
      <w:r w:rsidR="00355330">
        <w:t>nov</w:t>
      </w:r>
      <w:r>
        <w:t>ú hodnotu i</w:t>
      </w:r>
      <w:r w:rsidR="00355330">
        <w:t>dentifik</w:t>
      </w:r>
      <w:r>
        <w:t>á</w:t>
      </w:r>
      <w:r w:rsidR="00355330">
        <w:t xml:space="preserve">tora </w:t>
      </w:r>
      <w:r>
        <w:t xml:space="preserve">čím menšiemu počtu </w:t>
      </w:r>
      <w:r w:rsidR="00355330">
        <w:t>subjekto</w:t>
      </w:r>
      <w:r w:rsidR="006C17A5">
        <w:t>v</w:t>
      </w:r>
      <w:r>
        <w:t>,</w:t>
      </w:r>
    </w:p>
    <w:p w14:paraId="05B20714" w14:textId="4406039C" w:rsidR="00355330" w:rsidRDefault="00355330" w:rsidP="00E16C5B">
      <w:pPr>
        <w:numPr>
          <w:ilvl w:val="0"/>
          <w:numId w:val="5"/>
        </w:numPr>
        <w:ind w:left="709" w:hanging="349"/>
      </w:pPr>
      <w:r>
        <w:t>vy</w:t>
      </w:r>
      <w:r w:rsidR="00E16C5B">
        <w:t>ž</w:t>
      </w:r>
      <w:r>
        <w:t xml:space="preserve">aduje </w:t>
      </w:r>
      <w:r w:rsidR="00E16C5B">
        <w:t xml:space="preserve">čím menšiu </w:t>
      </w:r>
      <w:r>
        <w:t xml:space="preserve">zmenu procesov pri </w:t>
      </w:r>
      <w:r w:rsidR="00E16C5B">
        <w:t>využívaní</w:t>
      </w:r>
      <w:r>
        <w:t xml:space="preserve"> </w:t>
      </w:r>
      <w:r w:rsidR="00E16C5B">
        <w:t xml:space="preserve">nového </w:t>
      </w:r>
      <w:r>
        <w:t>identifik</w:t>
      </w:r>
      <w:r w:rsidR="00E16C5B">
        <w:t xml:space="preserve">átora </w:t>
      </w:r>
      <w:r>
        <w:t>v r</w:t>
      </w:r>
      <w:r w:rsidR="00E16C5B">
        <w:t>á</w:t>
      </w:r>
      <w:r>
        <w:t xml:space="preserve">mci </w:t>
      </w:r>
      <w:r w:rsidR="00E16C5B">
        <w:t>č</w:t>
      </w:r>
      <w:r>
        <w:t xml:space="preserve">innosti </w:t>
      </w:r>
      <w:r w:rsidR="00E16C5B">
        <w:t xml:space="preserve">všetkých </w:t>
      </w:r>
      <w:r>
        <w:t>subjektov</w:t>
      </w:r>
      <w:r w:rsidR="00106C8F">
        <w:t>,</w:t>
      </w:r>
    </w:p>
    <w:p w14:paraId="047DBBA8" w14:textId="2101AC71" w:rsidR="00355330" w:rsidRDefault="00E005EB" w:rsidP="00E16C5B">
      <w:pPr>
        <w:numPr>
          <w:ilvl w:val="0"/>
          <w:numId w:val="5"/>
        </w:numPr>
        <w:ind w:left="709" w:hanging="349"/>
      </w:pPr>
      <w:r>
        <w:t>vedie k</w:t>
      </w:r>
      <w:r w:rsidR="00E16C5B">
        <w:t xml:space="preserve"> minimalizácii potrebných zmien v IS (z dôvodu novej hodnoty identifikátora) </w:t>
      </w:r>
      <w:r>
        <w:t xml:space="preserve">ako na </w:t>
      </w:r>
      <w:r w:rsidR="00E16C5B">
        <w:t>ú</w:t>
      </w:r>
      <w:r>
        <w:t>rovni verejnej s</w:t>
      </w:r>
      <w:r w:rsidR="00E16C5B">
        <w:t>právy tak aj súkromného sektora</w:t>
      </w:r>
      <w:r>
        <w:t>.</w:t>
      </w:r>
    </w:p>
    <w:p w14:paraId="71C0A3CD" w14:textId="31480181" w:rsidR="00106C8F" w:rsidRDefault="00106C8F" w:rsidP="00355330">
      <w:r>
        <w:t>Samozrejme základnou požiadavkou, ktorá musí byť nevyhnutne splnená, sú vlastnosti identifikátora ako jednoznačného a nespochybniteľného spôsobu identifikovania každého relevantného subjektu</w:t>
      </w:r>
      <w:r w:rsidR="00F4537E">
        <w:t xml:space="preserve">, čo je v rozhodujúcej miere závislé od procesov, </w:t>
      </w:r>
      <w:r w:rsidR="00F12524">
        <w:t xml:space="preserve">v rámci </w:t>
      </w:r>
      <w:r w:rsidR="00F4537E">
        <w:t>ktorý</w:t>
      </w:r>
      <w:r w:rsidR="00F12524">
        <w:t>ch</w:t>
      </w:r>
      <w:r w:rsidR="00F4537E">
        <w:t xml:space="preserve"> sa  tento identifikátor prideľuje</w:t>
      </w:r>
      <w:r>
        <w:t xml:space="preserve">.   </w:t>
      </w:r>
    </w:p>
    <w:p w14:paraId="3FBBCDC3" w14:textId="69E87782" w:rsidR="00E005EB" w:rsidRDefault="00E005EB" w:rsidP="00355330">
      <w:r>
        <w:t>Uveden</w:t>
      </w:r>
      <w:r w:rsidR="00106C8F">
        <w:t>é</w:t>
      </w:r>
      <w:r>
        <w:t xml:space="preserve"> po</w:t>
      </w:r>
      <w:r w:rsidR="00106C8F">
        <w:t>ž</w:t>
      </w:r>
      <w:r>
        <w:t>iadavky</w:t>
      </w:r>
      <w:r w:rsidR="00106C8F">
        <w:t xml:space="preserve"> na IPO sú </w:t>
      </w:r>
      <w:r>
        <w:t>najviac spln</w:t>
      </w:r>
      <w:r w:rsidR="00106C8F">
        <w:t>ené</w:t>
      </w:r>
      <w:r>
        <w:t xml:space="preserve"> pr</w:t>
      </w:r>
      <w:r w:rsidR="00106C8F">
        <w:t>í</w:t>
      </w:r>
      <w:r>
        <w:t>stup</w:t>
      </w:r>
      <w:r w:rsidR="00106C8F">
        <w:t>om</w:t>
      </w:r>
      <w:r>
        <w:t>, ktor</w:t>
      </w:r>
      <w:r w:rsidR="00106C8F">
        <w:t>ý</w:t>
      </w:r>
      <w:r>
        <w:t xml:space="preserve"> ponech</w:t>
      </w:r>
      <w:r w:rsidR="00106C8F">
        <w:t>á</w:t>
      </w:r>
      <w:r>
        <w:t>va hodnoty IPO rovnak</w:t>
      </w:r>
      <w:r w:rsidR="00106C8F">
        <w:t>é</w:t>
      </w:r>
      <w:r>
        <w:t xml:space="preserve"> ako </w:t>
      </w:r>
      <w:r w:rsidR="00106C8F">
        <w:t>sú hodnoty</w:t>
      </w:r>
      <w:r>
        <w:t xml:space="preserve"> I</w:t>
      </w:r>
      <w:r w:rsidR="00106C8F">
        <w:t>Č</w:t>
      </w:r>
      <w:r w:rsidR="00571082">
        <w:t>O</w:t>
      </w:r>
      <w:r w:rsidR="00F4537E">
        <w:t xml:space="preserve"> a osobitného identifikátora</w:t>
      </w:r>
      <w:r w:rsidR="00571082">
        <w:t>. To znamená</w:t>
      </w:r>
      <w:r w:rsidR="006C17A5">
        <w:t xml:space="preserve"> </w:t>
      </w:r>
      <w:r w:rsidR="006202F6">
        <w:t xml:space="preserve">pre </w:t>
      </w:r>
      <w:r w:rsidR="00571082">
        <w:t xml:space="preserve">IPO </w:t>
      </w:r>
      <w:r w:rsidR="006C17A5">
        <w:t xml:space="preserve">pre ktoré </w:t>
      </w:r>
      <w:r w:rsidR="00571082">
        <w:t>plat</w:t>
      </w:r>
      <w:r w:rsidR="006C17A5">
        <w:t>í</w:t>
      </w:r>
      <w:r w:rsidR="00571082">
        <w:t>:</w:t>
      </w:r>
    </w:p>
    <w:p w14:paraId="3B2650CA" w14:textId="2A270B07" w:rsidR="00571082" w:rsidRDefault="00571082" w:rsidP="00571082">
      <w:pPr>
        <w:numPr>
          <w:ilvl w:val="0"/>
          <w:numId w:val="5"/>
        </w:numPr>
        <w:ind w:left="709" w:hanging="349"/>
      </w:pPr>
      <w:r>
        <w:t xml:space="preserve">IPO pozostáva z </w:t>
      </w:r>
    </w:p>
    <w:p w14:paraId="3A0FE3E9" w14:textId="60AA7EF6" w:rsidR="00571082" w:rsidRDefault="00571082" w:rsidP="00571082">
      <w:pPr>
        <w:numPr>
          <w:ilvl w:val="1"/>
          <w:numId w:val="5"/>
        </w:numPr>
      </w:pPr>
      <w:r>
        <w:t>čísla subjektu – 7 numerických znakov</w:t>
      </w:r>
      <w:r w:rsidR="007E1A0B">
        <w:t>,</w:t>
      </w:r>
    </w:p>
    <w:p w14:paraId="5458976B" w14:textId="553AE0B6" w:rsidR="00571082" w:rsidRDefault="00571082" w:rsidP="00571082">
      <w:pPr>
        <w:numPr>
          <w:ilvl w:val="1"/>
          <w:numId w:val="5"/>
        </w:numPr>
      </w:pPr>
      <w:r>
        <w:t xml:space="preserve">kontrolného </w:t>
      </w:r>
      <w:r w:rsidR="006C17A5">
        <w:t>čísla</w:t>
      </w:r>
      <w:r>
        <w:t xml:space="preserve"> –</w:t>
      </w:r>
      <w:r w:rsidR="00506495">
        <w:t xml:space="preserve"> 1 numerický</w:t>
      </w:r>
      <w:r>
        <w:t xml:space="preserve"> znak, spôsob stanovenia rovnak</w:t>
      </w:r>
      <w:r w:rsidR="006202F6">
        <w:t>ý</w:t>
      </w:r>
      <w:r>
        <w:t xml:space="preserve"> ako pri IČO</w:t>
      </w:r>
      <w:r w:rsidR="007E1A0B">
        <w:t>,</w:t>
      </w:r>
    </w:p>
    <w:p w14:paraId="770ED741" w14:textId="1EC8FB14" w:rsidR="00E005EB" w:rsidRDefault="00E005EB" w:rsidP="00571082">
      <w:pPr>
        <w:numPr>
          <w:ilvl w:val="1"/>
          <w:numId w:val="5"/>
        </w:numPr>
      </w:pPr>
      <w:r>
        <w:t>roz</w:t>
      </w:r>
      <w:r w:rsidR="00571082">
        <w:t xml:space="preserve">šírenia </w:t>
      </w:r>
      <w:r>
        <w:t>(</w:t>
      </w:r>
      <w:r w:rsidR="00571082">
        <w:t>voliteľne</w:t>
      </w:r>
      <w:r>
        <w:t>)</w:t>
      </w:r>
      <w:r w:rsidR="00571082">
        <w:t xml:space="preserve"> – 4 </w:t>
      </w:r>
      <w:r w:rsidR="00FA48BC">
        <w:t>alfa</w:t>
      </w:r>
      <w:r w:rsidR="00571082">
        <w:t>numerické znaky</w:t>
      </w:r>
      <w:r w:rsidR="007E1A0B">
        <w:t>,</w:t>
      </w:r>
    </w:p>
    <w:p w14:paraId="6C5B2B28" w14:textId="23FD31CE" w:rsidR="00E005EB" w:rsidRDefault="00E005EB" w:rsidP="00571082">
      <w:pPr>
        <w:numPr>
          <w:ilvl w:val="0"/>
          <w:numId w:val="5"/>
        </w:numPr>
        <w:ind w:left="709" w:hanging="349"/>
      </w:pPr>
      <w:r>
        <w:t>roz</w:t>
      </w:r>
      <w:r w:rsidR="0008633B">
        <w:t xml:space="preserve">šírenie sa </w:t>
      </w:r>
      <w:r>
        <w:t>bude pride</w:t>
      </w:r>
      <w:r w:rsidR="0008633B">
        <w:t xml:space="preserve">ľovať len subjektom </w:t>
      </w:r>
      <w:r w:rsidR="00F4537E">
        <w:t>bez právnej subjektivity</w:t>
      </w:r>
      <w:r w:rsidR="006C17A5">
        <w:t>,</w:t>
      </w:r>
      <w:r w:rsidR="0008633B">
        <w:t xml:space="preserve"> pričom takýmto subjektom bude pridelené číslo ich materskej spoločnosti (a z dôvodu spôsobu stanovania kontrolného </w:t>
      </w:r>
      <w:r w:rsidR="006C17A5">
        <w:t>čísla</w:t>
      </w:r>
      <w:r w:rsidR="0008633B">
        <w:t>, bude tento tiež rovnaký ako pre materskú spoločnosť)</w:t>
      </w:r>
      <w:r w:rsidR="007E1A0B">
        <w:t>.</w:t>
      </w:r>
    </w:p>
    <w:p w14:paraId="07D5950A" w14:textId="2AB738F8" w:rsidR="007E1A0B" w:rsidRDefault="007E1A0B" w:rsidP="00355330">
      <w:r>
        <w:t xml:space="preserve">Dôsledkom tohoto prístupu bude existencia dvoch formátov IPO: </w:t>
      </w:r>
    </w:p>
    <w:p w14:paraId="27C342CD" w14:textId="1F550170" w:rsidR="007E1A0B" w:rsidRDefault="007E1A0B" w:rsidP="007E1A0B">
      <w:pPr>
        <w:numPr>
          <w:ilvl w:val="0"/>
          <w:numId w:val="5"/>
        </w:numPr>
        <w:ind w:left="709" w:hanging="349"/>
      </w:pPr>
      <w:r>
        <w:t>IPO s dĺžkou 8 znakov – pre subjekty s  právnou subjektivitou,</w:t>
      </w:r>
    </w:p>
    <w:p w14:paraId="443C3A8E" w14:textId="2FCD5F07" w:rsidR="007E1A0B" w:rsidRDefault="007E1A0B" w:rsidP="007E1A0B">
      <w:pPr>
        <w:numPr>
          <w:ilvl w:val="0"/>
          <w:numId w:val="5"/>
        </w:numPr>
        <w:ind w:left="709" w:hanging="349"/>
      </w:pPr>
      <w:r>
        <w:t>IPO s dĺžkou 12 znakov</w:t>
      </w:r>
      <w:r w:rsidR="007F07E9">
        <w:t xml:space="preserve"> (s </w:t>
      </w:r>
      <w:r w:rsidR="00FA48BC">
        <w:t>rozšírením</w:t>
      </w:r>
      <w:r w:rsidR="007F07E9">
        <w:t>)</w:t>
      </w:r>
      <w:r>
        <w:t xml:space="preserve"> – pre subjekty </w:t>
      </w:r>
      <w:r w:rsidR="00F4537E">
        <w:t>bez právnej subjektivity</w:t>
      </w:r>
      <w:r>
        <w:t>.</w:t>
      </w:r>
    </w:p>
    <w:p w14:paraId="14C3190B" w14:textId="3BA71FE2" w:rsidR="00E005EB" w:rsidRDefault="007E1A0B" w:rsidP="00355330">
      <w:r>
        <w:t xml:space="preserve">Aj keď existencia viacerých formátov pre jeden identifikátor nie je ideálnym riešením, javí sa toto riešenie ako </w:t>
      </w:r>
      <w:r w:rsidR="007F07E9">
        <w:t>vhodné</w:t>
      </w:r>
      <w:r>
        <w:t xml:space="preserve"> vzhľadom na zavedenie </w:t>
      </w:r>
      <w:r w:rsidR="007F07E9">
        <w:t>primeranej</w:t>
      </w:r>
      <w:r w:rsidR="00F12524">
        <w:t xml:space="preserve"> </w:t>
      </w:r>
      <w:r>
        <w:t xml:space="preserve">miery </w:t>
      </w:r>
      <w:r w:rsidR="00F12524">
        <w:t>rozdielnosti</w:t>
      </w:r>
      <w:r>
        <w:t xml:space="preserve"> </w:t>
      </w:r>
      <w:r w:rsidR="00F12524">
        <w:t xml:space="preserve">medzi identifikátorom osoby s plnohodnotným právnym postavením a bez neho. </w:t>
      </w:r>
      <w:r>
        <w:lastRenderedPageBreak/>
        <w:t xml:space="preserve">Zabezpečením adekvátnej informovanosti v súvislosti so vznikom IPO je tiež možné obmedziť v súčasnosti existujúce problémy pri používaní 12 miestneho identifikátora. </w:t>
      </w:r>
    </w:p>
    <w:p w14:paraId="0D76F1E9" w14:textId="28550B26" w:rsidR="00E005EB" w:rsidRDefault="00A552F7" w:rsidP="00355330">
      <w:r>
        <w:t xml:space="preserve">Vzhľadom na uvedené, hodnoty IPO budú totožné s hodnotami IČO </w:t>
      </w:r>
      <w:r w:rsidR="00F12524">
        <w:t xml:space="preserve">a osobitného identifikátora </w:t>
      </w:r>
      <w:r>
        <w:t xml:space="preserve">pre všetky </w:t>
      </w:r>
      <w:r w:rsidR="00F12524">
        <w:t xml:space="preserve">typy </w:t>
      </w:r>
      <w:r>
        <w:t>subjekt</w:t>
      </w:r>
      <w:r w:rsidR="00F12524">
        <w:t xml:space="preserve">ov. </w:t>
      </w:r>
      <w:r>
        <w:t xml:space="preserve">Z pohľadu naplnenia požiadavky na jednoznačnosť identifikátora a v súčasnosti existujúcich duplicít v hodnotách IČO, je </w:t>
      </w:r>
      <w:r w:rsidR="00FA48BC">
        <w:t>vhodné</w:t>
      </w:r>
      <w:r>
        <w:t xml:space="preserve"> pri stanovení IPO prideliť novú hodnotu ident</w:t>
      </w:r>
      <w:r w:rsidR="00FA48BC">
        <w:t>ifikátora príslušným subjektom avšak nie je to limitujúcim faktorom pre zavedenie IPO.</w:t>
      </w:r>
    </w:p>
    <w:p w14:paraId="153F8547" w14:textId="4DC7DDAD" w:rsidR="00E005EB" w:rsidRDefault="00E005EB" w:rsidP="00355330">
      <w:r>
        <w:t>Ke</w:t>
      </w:r>
      <w:r w:rsidR="00A552F7">
        <w:t>ďž</w:t>
      </w:r>
      <w:r>
        <w:t>e hodn</w:t>
      </w:r>
      <w:r w:rsidR="00A552F7">
        <w:t>o</w:t>
      </w:r>
      <w:r>
        <w:t>ty identifik</w:t>
      </w:r>
      <w:r w:rsidR="00A552F7">
        <w:t>á</w:t>
      </w:r>
      <w:r>
        <w:t xml:space="preserve">tora sa prakticky nezmenia </w:t>
      </w:r>
      <w:r w:rsidR="00A552F7">
        <w:t xml:space="preserve">a zmena bude musieť nastať </w:t>
      </w:r>
      <w:r w:rsidR="00F12524">
        <w:t xml:space="preserve">iba </w:t>
      </w:r>
      <w:r w:rsidR="000D138B">
        <w:t xml:space="preserve"> v </w:t>
      </w:r>
      <w:r w:rsidR="00A552F7">
        <w:t xml:space="preserve">označení identifikátora, </w:t>
      </w:r>
      <w:r>
        <w:t>z poh</w:t>
      </w:r>
      <w:r w:rsidR="00A552F7">
        <w:t>ľ</w:t>
      </w:r>
      <w:r>
        <w:t>adu sp</w:t>
      </w:r>
      <w:r w:rsidR="00A552F7">
        <w:t>ô</w:t>
      </w:r>
      <w:r>
        <w:t>sobu zavedenia je mo</w:t>
      </w:r>
      <w:r w:rsidR="00A552F7">
        <w:t>ž</w:t>
      </w:r>
      <w:r>
        <w:t>n</w:t>
      </w:r>
      <w:r w:rsidR="00A552F7">
        <w:t>é</w:t>
      </w:r>
      <w:r>
        <w:t xml:space="preserve"> aplikova</w:t>
      </w:r>
      <w:r w:rsidR="00A552F7">
        <w:t>ť</w:t>
      </w:r>
      <w:r>
        <w:t xml:space="preserve"> aj okam</w:t>
      </w:r>
      <w:r w:rsidR="00A552F7">
        <w:t>ži</w:t>
      </w:r>
      <w:r>
        <w:t>t</w:t>
      </w:r>
      <w:r w:rsidR="00A552F7">
        <w:t xml:space="preserve">ú </w:t>
      </w:r>
      <w:r>
        <w:t>zmenu.</w:t>
      </w:r>
      <w:r w:rsidR="000D138B">
        <w:t xml:space="preserve"> Na druhej strane je v</w:t>
      </w:r>
      <w:r w:rsidR="00371200">
        <w:t>hodn</w:t>
      </w:r>
      <w:r w:rsidR="000D138B">
        <w:t>é</w:t>
      </w:r>
      <w:r w:rsidR="00371200">
        <w:t xml:space="preserve"> ponecha</w:t>
      </w:r>
      <w:r w:rsidR="000D138B">
        <w:t>ť</w:t>
      </w:r>
      <w:r w:rsidR="00371200">
        <w:t xml:space="preserve"> prechodn</w:t>
      </w:r>
      <w:r w:rsidR="000D138B">
        <w:t>é</w:t>
      </w:r>
      <w:r w:rsidR="00371200">
        <w:t xml:space="preserve"> obdobie pre </w:t>
      </w:r>
      <w:r w:rsidR="000D138B">
        <w:t xml:space="preserve">adaptáciu </w:t>
      </w:r>
      <w:r w:rsidR="00F12524">
        <w:t xml:space="preserve">nového označenia identifikátora (IPO). </w:t>
      </w:r>
    </w:p>
    <w:p w14:paraId="478829F4" w14:textId="480504E8" w:rsidR="007E1A0B" w:rsidRPr="00355330" w:rsidRDefault="007E1A0B" w:rsidP="00355330"/>
    <w:p w14:paraId="0F900BED" w14:textId="09E5F6D0" w:rsidR="00F55A3B" w:rsidRPr="000D6614" w:rsidRDefault="00F55A3B" w:rsidP="00F55A3B">
      <w:pPr>
        <w:pStyle w:val="Nadpis1"/>
      </w:pPr>
      <w:bookmarkStart w:id="13" w:name="_Toc399517898"/>
      <w:r w:rsidRPr="000D6614">
        <w:lastRenderedPageBreak/>
        <w:t>Spôsob prideľovania IPO</w:t>
      </w:r>
      <w:bookmarkEnd w:id="13"/>
    </w:p>
    <w:p w14:paraId="47BBE9A7" w14:textId="05078E6E" w:rsidR="00C12BB7" w:rsidRDefault="00C12BB7" w:rsidP="00296A52">
      <w:r>
        <w:t>Prideľovanie IPO musí byť realizované takým spôsobom, aby boli dodržané požiadavky na vlastnosti identifikátora. Jedná sa najmä o:</w:t>
      </w:r>
    </w:p>
    <w:p w14:paraId="2239232F" w14:textId="4384726E" w:rsidR="00C12BB7" w:rsidRDefault="008D4AA2" w:rsidP="008D4AA2">
      <w:pPr>
        <w:numPr>
          <w:ilvl w:val="0"/>
          <w:numId w:val="5"/>
        </w:numPr>
        <w:ind w:left="709" w:hanging="349"/>
      </w:pPr>
      <w:r>
        <w:t>jeden identifikátor je priradený práve jednému subjektu,</w:t>
      </w:r>
    </w:p>
    <w:p w14:paraId="6E2A1FE2" w14:textId="5591555B" w:rsidR="008D4AA2" w:rsidRDefault="008D4AA2" w:rsidP="008D4AA2">
      <w:pPr>
        <w:numPr>
          <w:ilvl w:val="0"/>
          <w:numId w:val="5"/>
        </w:numPr>
        <w:ind w:left="709" w:hanging="349"/>
      </w:pPr>
      <w:r>
        <w:t>jeden subjekt má priradený práve jeden identifikátor.</w:t>
      </w:r>
    </w:p>
    <w:p w14:paraId="2AE2B047" w14:textId="773A2511" w:rsidR="008D4AA2" w:rsidRDefault="008D4AA2" w:rsidP="00296A52">
      <w:r>
        <w:t xml:space="preserve">Zabezpečenie uvedených požiadaviek bude dosiahnuté </w:t>
      </w:r>
      <w:r w:rsidR="00F12524">
        <w:t xml:space="preserve">centralizáciou procesu jeho prideľovania </w:t>
      </w:r>
      <w:r>
        <w:t xml:space="preserve">prostredníctvom funkčnosti modulu Generátor IPO. Využívania vlastností tohoto modulu bude musieť byť zapojené do procesov spojených s prideľovaním IPO u všetkých registrátorov. </w:t>
      </w:r>
    </w:p>
    <w:p w14:paraId="5264A486" w14:textId="443AFB31" w:rsidR="00D9585F" w:rsidRDefault="00D9585F" w:rsidP="00296A52">
      <w:r>
        <w:t>Procesy, ktoré budú musieť byť podporované v rámci prideľovania IPO sú:</w:t>
      </w:r>
    </w:p>
    <w:p w14:paraId="112BE378" w14:textId="07900DAB" w:rsidR="00D9585F" w:rsidRDefault="00D9585F" w:rsidP="00D9585F">
      <w:pPr>
        <w:numPr>
          <w:ilvl w:val="0"/>
          <w:numId w:val="5"/>
        </w:numPr>
        <w:ind w:left="709" w:hanging="349"/>
      </w:pPr>
      <w:r>
        <w:t>stanovenie IPO</w:t>
      </w:r>
      <w:r w:rsidR="00FA48BC">
        <w:t xml:space="preserve"> (vrátane rezervácie IPO)</w:t>
      </w:r>
      <w:r>
        <w:t>,</w:t>
      </w:r>
    </w:p>
    <w:p w14:paraId="4E1DADC2" w14:textId="2468A304" w:rsidR="00D9585F" w:rsidRDefault="00D9585F" w:rsidP="00D9585F">
      <w:pPr>
        <w:numPr>
          <w:ilvl w:val="0"/>
          <w:numId w:val="5"/>
        </w:numPr>
        <w:ind w:left="709" w:hanging="349"/>
      </w:pPr>
      <w:r>
        <w:t>ukončenie rezervácie IPO,</w:t>
      </w:r>
    </w:p>
    <w:p w14:paraId="25C35B8C" w14:textId="5D429490" w:rsidR="00D9585F" w:rsidRDefault="00D9585F" w:rsidP="00D9585F">
      <w:pPr>
        <w:numPr>
          <w:ilvl w:val="0"/>
          <w:numId w:val="5"/>
        </w:numPr>
        <w:ind w:left="709" w:hanging="349"/>
      </w:pPr>
      <w:r>
        <w:t>kontrola rezervovaných IPO.</w:t>
      </w:r>
    </w:p>
    <w:p w14:paraId="5225D280" w14:textId="33879CBC" w:rsidR="00D9585F" w:rsidRDefault="00D9585F" w:rsidP="00D9585F">
      <w:pPr>
        <w:pStyle w:val="Nadpis2"/>
        <w:tabs>
          <w:tab w:val="left" w:pos="431"/>
        </w:tabs>
        <w:ind w:left="578" w:hanging="578"/>
      </w:pPr>
      <w:bookmarkStart w:id="14" w:name="_Toc399517899"/>
      <w:r>
        <w:t>Stanovenie IPO</w:t>
      </w:r>
      <w:bookmarkEnd w:id="14"/>
    </w:p>
    <w:p w14:paraId="2D0853E7" w14:textId="00CA960D" w:rsidR="00D9585F" w:rsidRDefault="00D9585F" w:rsidP="00296A52">
      <w:r>
        <w:t>Cieľom tohoto procesu je určenie IPO subjektu. V prípade, že subjekt už má pridelené IPO, musí byť toto IPO použité vo všetkých evidenciách. Ak subjekt ešte nemá pridelené IPO</w:t>
      </w:r>
      <w:r w:rsidR="002D41FA">
        <w:t>,</w:t>
      </w:r>
      <w:r>
        <w:t xml:space="preserve"> tak v rámci procesu mu je vygenerované.</w:t>
      </w:r>
    </w:p>
    <w:p w14:paraId="6B825734" w14:textId="54037229" w:rsidR="00D9585F" w:rsidRDefault="002D41FA" w:rsidP="00296A52">
      <w:r>
        <w:rPr>
          <w:noProof/>
          <w:lang w:eastAsia="sk-SK"/>
        </w:rPr>
        <w:lastRenderedPageBreak/>
        <w:drawing>
          <wp:inline distT="0" distB="0" distL="0" distR="0" wp14:anchorId="65FDEB63" wp14:editId="71264AAF">
            <wp:extent cx="4562325" cy="64960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460" cy="6500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3F9953" w14:textId="5C175824" w:rsidR="002D41FA" w:rsidRDefault="002D41FA" w:rsidP="002D41FA">
      <w:pPr>
        <w:pStyle w:val="Popis"/>
      </w:pPr>
      <w:r>
        <w:t xml:space="preserve">Obrázok </w:t>
      </w:r>
      <w:r w:rsidR="00562B36">
        <w:fldChar w:fldCharType="begin"/>
      </w:r>
      <w:r w:rsidR="00562B36">
        <w:instrText xml:space="preserve"> SEQ Obrázok \* ARABIC </w:instrText>
      </w:r>
      <w:r w:rsidR="00562B36">
        <w:fldChar w:fldCharType="separate"/>
      </w:r>
      <w:r w:rsidR="00004328">
        <w:rPr>
          <w:noProof/>
        </w:rPr>
        <w:t>2</w:t>
      </w:r>
      <w:r w:rsidR="00562B36">
        <w:rPr>
          <w:noProof/>
        </w:rPr>
        <w:fldChar w:fldCharType="end"/>
      </w:r>
      <w:r>
        <w:t>: Stanovenie IPO</w:t>
      </w:r>
    </w:p>
    <w:p w14:paraId="1400FC17" w14:textId="48A8EA9D" w:rsidR="00D9585F" w:rsidRDefault="002D41FA" w:rsidP="00296A52">
      <w:r>
        <w:t>V rámci procesu sú realizované nasledujúce činnosti</w:t>
      </w:r>
    </w:p>
    <w:p w14:paraId="12ED1D58" w14:textId="2BC47372" w:rsidR="002D41FA" w:rsidRDefault="002D41FA" w:rsidP="002D41FA">
      <w:pPr>
        <w:numPr>
          <w:ilvl w:val="0"/>
          <w:numId w:val="5"/>
        </w:numPr>
        <w:ind w:left="709" w:hanging="349"/>
      </w:pPr>
      <w:r>
        <w:t xml:space="preserve">Žiadosť o stanovenie IPO – v prípade žiadosti o registráciu subjektu v zdrojovom registri, registrátor vytvorí žiadosť o stanovenie IPO. Ak subjekt už </w:t>
      </w:r>
      <w:r>
        <w:lastRenderedPageBreak/>
        <w:t xml:space="preserve">existuje </w:t>
      </w:r>
      <w:r w:rsidR="00805150">
        <w:t xml:space="preserve">napr. v inom zdrojovom registri </w:t>
      </w:r>
      <w:r>
        <w:t>a jeho IPO je súčasťou žiadosti predloženej registrátorovi, účelom procesu je overenie správnosti IPO. Súčasťou žiadosti o stanovenie IPO sú identifikačné údaje subjektu ako napr. názov, adresa sídla subjektu.</w:t>
      </w:r>
    </w:p>
    <w:p w14:paraId="4FFB41FF" w14:textId="1D544B15" w:rsidR="00B23C87" w:rsidRDefault="002D41FA" w:rsidP="002D41FA">
      <w:pPr>
        <w:numPr>
          <w:ilvl w:val="0"/>
          <w:numId w:val="5"/>
        </w:numPr>
        <w:ind w:left="709" w:hanging="349"/>
      </w:pPr>
      <w:r>
        <w:t xml:space="preserve">Overenie existencie subjektu </w:t>
      </w:r>
      <w:r w:rsidR="00B23C87">
        <w:t>–</w:t>
      </w:r>
      <w:r>
        <w:t xml:space="preserve"> </w:t>
      </w:r>
      <w:r w:rsidR="00B23C87">
        <w:t>spôsob spracovania žiadosti o pridelenie IPO závisí od toho či príslušný subjekt ne/má pridelené IPO. Pridelenie IPO sa realizuje vyhľadaním subjektu v RPO ako aj kontrolou rezervovaných IPO.</w:t>
      </w:r>
    </w:p>
    <w:p w14:paraId="64B47010" w14:textId="2F9D12F9" w:rsidR="00D9585F" w:rsidRDefault="00B23C87" w:rsidP="00BB4059">
      <w:pPr>
        <w:numPr>
          <w:ilvl w:val="0"/>
          <w:numId w:val="5"/>
        </w:numPr>
        <w:ind w:left="709" w:hanging="349"/>
      </w:pPr>
      <w:r>
        <w:t xml:space="preserve">Vyhľadanie subjektu – určenie existencie subjektu v RPO je na základe porovnania nasledujúcich identifikačných údajov: </w:t>
      </w:r>
    </w:p>
    <w:p w14:paraId="42BCDF50" w14:textId="706CEB88" w:rsidR="00B23C87" w:rsidRPr="000D6614" w:rsidRDefault="00B23C87" w:rsidP="00B23C87">
      <w:pPr>
        <w:numPr>
          <w:ilvl w:val="1"/>
          <w:numId w:val="5"/>
        </w:numPr>
      </w:pPr>
      <w:r w:rsidRPr="000D6614">
        <w:t>v prípade právnických osôb na základe názvu a</w:t>
      </w:r>
      <w:r>
        <w:t xml:space="preserve"> adresy </w:t>
      </w:r>
      <w:r w:rsidRPr="000D6614">
        <w:t>sídla,</w:t>
      </w:r>
    </w:p>
    <w:p w14:paraId="62CFEA62" w14:textId="69F0E8FE" w:rsidR="00B23C87" w:rsidRPr="000D6614" w:rsidRDefault="00B23C87" w:rsidP="00B23C87">
      <w:pPr>
        <w:numPr>
          <w:ilvl w:val="1"/>
          <w:numId w:val="5"/>
        </w:numPr>
      </w:pPr>
      <w:r w:rsidRPr="000D6614">
        <w:t>v prípade podnikateľov na základe identifikátora fyzickej osoby, ktorá žiada o pridelenie IPO.</w:t>
      </w:r>
      <w:r>
        <w:t xml:space="preserve"> O</w:t>
      </w:r>
      <w:r w:rsidRPr="00351182">
        <w:t>verenie existencie podnikateľa bude prebiehať nielen na základe I</w:t>
      </w:r>
      <w:r>
        <w:t>F</w:t>
      </w:r>
      <w:r w:rsidRPr="00351182">
        <w:t>O</w:t>
      </w:r>
      <w:r>
        <w:t>,</w:t>
      </w:r>
      <w:r w:rsidRPr="00351182">
        <w:t xml:space="preserve"> ale aj na základe identifikačných údajov osoby</w:t>
      </w:r>
      <w:r>
        <w:t xml:space="preserve"> (napr. meno, priezvisko, rodné číslo).</w:t>
      </w:r>
    </w:p>
    <w:p w14:paraId="4F026F22" w14:textId="08C8FD0F" w:rsidR="00B23C87" w:rsidRDefault="00B23C87" w:rsidP="00B23C87">
      <w:pPr>
        <w:numPr>
          <w:ilvl w:val="0"/>
          <w:numId w:val="5"/>
        </w:numPr>
        <w:ind w:left="709" w:hanging="349"/>
      </w:pPr>
      <w:r>
        <w:t>Generovanie IPO</w:t>
      </w:r>
      <w:r w:rsidR="003D08C7">
        <w:t xml:space="preserve"> – v prípade ak subjekt ešte neexistuje, je mu vygenerované nové IPO</w:t>
      </w:r>
      <w:r w:rsidR="00805150">
        <w:t>, ktoré zabezpečí jeho jednoznačnú identifikáciu</w:t>
      </w:r>
      <w:r w:rsidR="003D08C7">
        <w:t xml:space="preserve">. Pri generovaní sú dodržané podmienky pre stanovenie hodnôt IPO. </w:t>
      </w:r>
      <w:r w:rsidR="00805150">
        <w:t>Súčasťou generovania IPO je aj jeho uloženie do evidencie rezervovaných IPO.</w:t>
      </w:r>
    </w:p>
    <w:p w14:paraId="21A0CBAB" w14:textId="0BD76D9B" w:rsidR="00805150" w:rsidRDefault="00805150" w:rsidP="00B23C87">
      <w:pPr>
        <w:numPr>
          <w:ilvl w:val="0"/>
          <w:numId w:val="5"/>
        </w:numPr>
        <w:ind w:left="709" w:hanging="349"/>
      </w:pPr>
      <w:r>
        <w:t xml:space="preserve">Oznámenie IPO subjektu – výsledkom procesu je poskytnutie informácie registrátorovi o hodnote stanoveného IPO subjektu. </w:t>
      </w:r>
    </w:p>
    <w:p w14:paraId="77BA8A75" w14:textId="69BC06C7" w:rsidR="00D9585F" w:rsidRDefault="00D9585F" w:rsidP="00D9585F">
      <w:pPr>
        <w:pStyle w:val="Nadpis2"/>
        <w:tabs>
          <w:tab w:val="left" w:pos="431"/>
        </w:tabs>
        <w:ind w:left="578" w:hanging="578"/>
      </w:pPr>
      <w:bookmarkStart w:id="15" w:name="_Toc399517900"/>
      <w:r>
        <w:t>Ukončenie rezervácie IPO</w:t>
      </w:r>
      <w:bookmarkEnd w:id="15"/>
    </w:p>
    <w:p w14:paraId="793C01DB" w14:textId="5C13C022" w:rsidR="00D9585F" w:rsidRDefault="00D9585F" w:rsidP="00D9585F">
      <w:r>
        <w:t>Proces slúži na vyradenie IPO z evidencie rezervovaných IPO ako dôsledok jeho</w:t>
      </w:r>
      <w:r w:rsidR="00D93EAD">
        <w:t xml:space="preserve"> pridelenia príslušnému subjektu. </w:t>
      </w:r>
    </w:p>
    <w:p w14:paraId="10096752" w14:textId="77777777" w:rsidR="00D9585F" w:rsidRDefault="00D9585F" w:rsidP="00296A52"/>
    <w:p w14:paraId="2A8DB67B" w14:textId="29ACDACB" w:rsidR="00805150" w:rsidRDefault="00805150" w:rsidP="00296A52">
      <w:r>
        <w:rPr>
          <w:noProof/>
          <w:lang w:eastAsia="sk-SK"/>
        </w:rPr>
        <w:lastRenderedPageBreak/>
        <w:drawing>
          <wp:inline distT="0" distB="0" distL="0" distR="0" wp14:anchorId="68F8E094" wp14:editId="4AD00717">
            <wp:extent cx="3755390" cy="368871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368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EB47E2" w14:textId="656ACA8B" w:rsidR="00805150" w:rsidRDefault="00805150" w:rsidP="00805150">
      <w:pPr>
        <w:pStyle w:val="Popis"/>
      </w:pPr>
      <w:r>
        <w:t xml:space="preserve">Obrázok </w:t>
      </w:r>
      <w:r w:rsidR="00562B36">
        <w:fldChar w:fldCharType="begin"/>
      </w:r>
      <w:r w:rsidR="00562B36">
        <w:instrText xml:space="preserve"> SEQ Obrázok \* ARABIC </w:instrText>
      </w:r>
      <w:r w:rsidR="00562B36">
        <w:fldChar w:fldCharType="separate"/>
      </w:r>
      <w:r w:rsidR="00004328">
        <w:rPr>
          <w:noProof/>
        </w:rPr>
        <w:t>3</w:t>
      </w:r>
      <w:r w:rsidR="00562B36">
        <w:rPr>
          <w:noProof/>
        </w:rPr>
        <w:fldChar w:fldCharType="end"/>
      </w:r>
      <w:r>
        <w:t>: Ukončenie rezervácie IPO</w:t>
      </w:r>
    </w:p>
    <w:p w14:paraId="3F4981F9" w14:textId="6865B89E" w:rsidR="00805150" w:rsidRDefault="00805150" w:rsidP="00805150">
      <w:r>
        <w:t>Úspešné ukončenie registrácie subjektu vedie k jeho zápisu do zdrojového registra a do RPO. Na základe takého zápisu je možné zrušenie rezervácie príslušného IPO</w:t>
      </w:r>
      <w:r w:rsidR="00532750">
        <w:t xml:space="preserve"> nakoľko sa prejaví medzi pridelenými IPO</w:t>
      </w:r>
      <w:r>
        <w:t>.</w:t>
      </w:r>
    </w:p>
    <w:p w14:paraId="58EEDF34" w14:textId="19F9A655" w:rsidR="00D93EAD" w:rsidRDefault="00D93EAD" w:rsidP="00D93EAD">
      <w:pPr>
        <w:pStyle w:val="Nadpis2"/>
        <w:tabs>
          <w:tab w:val="left" w:pos="431"/>
        </w:tabs>
        <w:ind w:left="578" w:hanging="578"/>
      </w:pPr>
      <w:bookmarkStart w:id="16" w:name="_Toc399517901"/>
      <w:r>
        <w:t>Kontrola rezervovaných IPO</w:t>
      </w:r>
      <w:bookmarkEnd w:id="16"/>
    </w:p>
    <w:p w14:paraId="6C4D5E6E" w14:textId="40BDA36C" w:rsidR="002D41FA" w:rsidRDefault="002D41FA" w:rsidP="00D93EAD">
      <w:r>
        <w:t>Účelom procesu je uvoľnenie rezervovaných IPO, ktoré neboli pridelené subjektu. Táto situácia môže nastať v prípade zamietnutia registrácie subjektu registrátorom</w:t>
      </w:r>
      <w:r w:rsidR="00532750">
        <w:t xml:space="preserve"> po využití služieb generátora IPO</w:t>
      </w:r>
      <w:r>
        <w:t>.</w:t>
      </w:r>
    </w:p>
    <w:p w14:paraId="1E0BB48C" w14:textId="39DE7799" w:rsidR="002D41FA" w:rsidRDefault="00805150" w:rsidP="00D93EAD">
      <w:r>
        <w:rPr>
          <w:noProof/>
          <w:lang w:eastAsia="sk-SK"/>
        </w:rPr>
        <w:lastRenderedPageBreak/>
        <w:drawing>
          <wp:inline distT="0" distB="0" distL="0" distR="0" wp14:anchorId="2BB85D1D" wp14:editId="124D4861">
            <wp:extent cx="2390140" cy="2822575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282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A5F801" w14:textId="6A96CFCD" w:rsidR="00805150" w:rsidRDefault="00805150" w:rsidP="00805150">
      <w:pPr>
        <w:pStyle w:val="Popis"/>
      </w:pPr>
      <w:r>
        <w:t xml:space="preserve">Obrázok </w:t>
      </w:r>
      <w:r w:rsidR="00562B36">
        <w:fldChar w:fldCharType="begin"/>
      </w:r>
      <w:r w:rsidR="00562B36">
        <w:instrText xml:space="preserve"> SEQ Obrázok \* ARABIC </w:instrText>
      </w:r>
      <w:r w:rsidR="00562B36">
        <w:fldChar w:fldCharType="separate"/>
      </w:r>
      <w:r w:rsidR="00004328">
        <w:rPr>
          <w:noProof/>
        </w:rPr>
        <w:t>4</w:t>
      </w:r>
      <w:r w:rsidR="00562B36">
        <w:rPr>
          <w:noProof/>
        </w:rPr>
        <w:fldChar w:fldCharType="end"/>
      </w:r>
      <w:r>
        <w:t>: Kontrola rezervovaných IPO</w:t>
      </w:r>
    </w:p>
    <w:p w14:paraId="145C088B" w14:textId="2B1DA89D" w:rsidR="00805150" w:rsidRDefault="000F1701" w:rsidP="00D93EAD">
      <w:r>
        <w:t>Je vhodné stanovenie lehoty pre rezervovanie IPO. V prípade ak IPO nie je v stanovenej lehote použité pre zápis subjektu do RPO (a následne vymazané z evidencie registrovaných IP</w:t>
      </w:r>
      <w:r w:rsidR="007B1896">
        <w:t>O), je zrušená jeho rezervácia.</w:t>
      </w:r>
    </w:p>
    <w:p w14:paraId="421A2A03" w14:textId="0D91B102" w:rsidR="002D41FA" w:rsidRDefault="002D41FA" w:rsidP="00D93EAD"/>
    <w:sectPr w:rsidR="002D41FA" w:rsidSect="005175B9"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C3564" w14:textId="77777777" w:rsidR="0000559C" w:rsidRDefault="0000559C">
      <w:pPr>
        <w:spacing w:before="0" w:after="0"/>
      </w:pPr>
      <w:r>
        <w:separator/>
      </w:r>
    </w:p>
  </w:endnote>
  <w:endnote w:type="continuationSeparator" w:id="0">
    <w:p w14:paraId="632ACFF4" w14:textId="77777777" w:rsidR="0000559C" w:rsidRDefault="0000559C">
      <w:pPr>
        <w:spacing w:before="0" w:after="0"/>
      </w:pPr>
      <w:r>
        <w:continuationSeparator/>
      </w:r>
    </w:p>
  </w:endnote>
  <w:endnote w:type="continuationNotice" w:id="1">
    <w:p w14:paraId="3B9CF994" w14:textId="77777777" w:rsidR="0000559C" w:rsidRDefault="0000559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63877" w14:textId="77777777" w:rsidR="00EC502C" w:rsidRDefault="00EC502C">
    <w:pPr>
      <w:pStyle w:val="Pta"/>
    </w:pPr>
    <w:r>
      <w:tab/>
    </w:r>
    <w:r>
      <w:tab/>
      <w:t>-</w:t>
    </w:r>
    <w:r>
      <w:fldChar w:fldCharType="begin"/>
    </w:r>
    <w:r>
      <w:instrText xml:space="preserve"> PAGE  \* MERGEFORMAT </w:instrText>
    </w:r>
    <w:r>
      <w:fldChar w:fldCharType="separate"/>
    </w:r>
    <w:r w:rsidR="00562B36">
      <w:rPr>
        <w:noProof/>
      </w:rPr>
      <w:t>16</w:t>
    </w:r>
    <w:r>
      <w:fldChar w:fldCharType="end"/>
    </w:r>
    <w:r>
      <w:t>/</w:t>
    </w:r>
    <w:r w:rsidR="00562B36">
      <w:fldChar w:fldCharType="begin"/>
    </w:r>
    <w:r w:rsidR="00562B36">
      <w:instrText xml:space="preserve"> NUMPAGES </w:instrText>
    </w:r>
    <w:r w:rsidR="00562B36">
      <w:fldChar w:fldCharType="separate"/>
    </w:r>
    <w:r w:rsidR="00562B36">
      <w:rPr>
        <w:noProof/>
      </w:rPr>
      <w:t>29</w:t>
    </w:r>
    <w:r w:rsidR="00562B36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87BED" w14:textId="77777777" w:rsidR="00EC502C" w:rsidRDefault="00EC502C">
    <w:pPr>
      <w:pStyle w:val="Pta"/>
    </w:pPr>
    <w:r w:rsidRPr="0053227B">
      <w:rPr>
        <w:noProof/>
        <w:lang w:eastAsia="sk-SK"/>
      </w:rPr>
      <w:drawing>
        <wp:inline distT="0" distB="0" distL="0" distR="0" wp14:anchorId="51585E44" wp14:editId="4625321E">
          <wp:extent cx="5838825" cy="933450"/>
          <wp:effectExtent l="0" t="0" r="9525" b="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B7F3F" w14:textId="77777777" w:rsidR="0000559C" w:rsidRDefault="0000559C">
      <w:pPr>
        <w:spacing w:before="0" w:after="0"/>
      </w:pPr>
      <w:r>
        <w:separator/>
      </w:r>
    </w:p>
  </w:footnote>
  <w:footnote w:type="continuationSeparator" w:id="0">
    <w:p w14:paraId="11AF5ED3" w14:textId="77777777" w:rsidR="0000559C" w:rsidRDefault="0000559C">
      <w:pPr>
        <w:spacing w:before="0" w:after="0"/>
      </w:pPr>
      <w:r>
        <w:continuationSeparator/>
      </w:r>
    </w:p>
  </w:footnote>
  <w:footnote w:type="continuationNotice" w:id="1">
    <w:p w14:paraId="0CD2CBA1" w14:textId="77777777" w:rsidR="0000559C" w:rsidRDefault="0000559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47017" w14:textId="77777777" w:rsidR="00EC502C" w:rsidRDefault="00EC502C"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531FCF4E" wp14:editId="0660B610">
          <wp:simplePos x="0" y="0"/>
          <wp:positionH relativeFrom="column">
            <wp:posOffset>3442970</wp:posOffset>
          </wp:positionH>
          <wp:positionV relativeFrom="paragraph">
            <wp:posOffset>-87630</wp:posOffset>
          </wp:positionV>
          <wp:extent cx="1609725" cy="561975"/>
          <wp:effectExtent l="0" t="0" r="9525" b="9525"/>
          <wp:wrapNone/>
          <wp:docPr id="17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7216" behindDoc="0" locked="0" layoutInCell="1" allowOverlap="1" wp14:anchorId="4735254E" wp14:editId="5CE50297">
          <wp:simplePos x="0" y="0"/>
          <wp:positionH relativeFrom="column">
            <wp:posOffset>394970</wp:posOffset>
          </wp:positionH>
          <wp:positionV relativeFrom="paragraph">
            <wp:posOffset>107950</wp:posOffset>
          </wp:positionV>
          <wp:extent cx="2086610" cy="358775"/>
          <wp:effectExtent l="0" t="0" r="8890" b="3175"/>
          <wp:wrapNone/>
          <wp:docPr id="16" name="Obrázok 16" descr="Logo Microco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Microco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6610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40D02A4" w14:textId="77777777" w:rsidR="00EC502C" w:rsidRDefault="00EC502C"/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39"/>
      <w:gridCol w:w="3521"/>
      <w:gridCol w:w="2352"/>
      <w:gridCol w:w="1549"/>
    </w:tblGrid>
    <w:tr w:rsidR="00EC502C" w:rsidRPr="00AA7FDA" w14:paraId="604E2A04" w14:textId="77777777" w:rsidTr="005175B9">
      <w:trPr>
        <w:cantSplit/>
        <w:trHeight w:val="360"/>
        <w:jc w:val="center"/>
      </w:trPr>
      <w:tc>
        <w:tcPr>
          <w:tcW w:w="904" w:type="pct"/>
        </w:tcPr>
        <w:p w14:paraId="022B10B8" w14:textId="77777777" w:rsidR="00EC502C" w:rsidRPr="009215AF" w:rsidRDefault="00EC502C" w:rsidP="005175B9">
          <w:pPr>
            <w:pStyle w:val="Hlavika"/>
            <w:spacing w:before="0" w:after="0"/>
            <w:rPr>
              <w:rFonts w:ascii="Arial" w:hAnsi="Arial"/>
              <w:b/>
              <w:sz w:val="24"/>
            </w:rPr>
          </w:pPr>
          <w:r w:rsidRPr="009215AF">
            <w:rPr>
              <w:rFonts w:ascii="Arial" w:hAnsi="Arial"/>
              <w:sz w:val="24"/>
            </w:rPr>
            <w:t>Projekt</w:t>
          </w:r>
        </w:p>
      </w:tc>
      <w:tc>
        <w:tcPr>
          <w:tcW w:w="4096" w:type="pct"/>
          <w:gridSpan w:val="3"/>
        </w:tcPr>
        <w:p w14:paraId="492D0CBA" w14:textId="77777777" w:rsidR="00EC502C" w:rsidRPr="009215AF" w:rsidRDefault="00EC502C" w:rsidP="005175B9">
          <w:pPr>
            <w:pStyle w:val="Hlavika"/>
            <w:spacing w:before="0" w:after="0"/>
            <w:rPr>
              <w:rFonts w:ascii="Arial" w:hAnsi="Arial"/>
              <w:sz w:val="24"/>
            </w:rPr>
          </w:pPr>
          <w:r w:rsidRPr="009215AF">
            <w:rPr>
              <w:rFonts w:ascii="Arial" w:hAnsi="Arial"/>
              <w:sz w:val="24"/>
            </w:rPr>
            <w:t>Register a identifikátor právnických osôb a podnikateľov</w:t>
          </w:r>
        </w:p>
      </w:tc>
    </w:tr>
    <w:tr w:rsidR="00EC502C" w:rsidRPr="00AA7FDA" w14:paraId="1363D2D9" w14:textId="77777777" w:rsidTr="005175B9">
      <w:trPr>
        <w:cantSplit/>
        <w:trHeight w:val="345"/>
        <w:jc w:val="center"/>
      </w:trPr>
      <w:tc>
        <w:tcPr>
          <w:tcW w:w="904" w:type="pct"/>
        </w:tcPr>
        <w:p w14:paraId="31AEC242" w14:textId="77777777" w:rsidR="00EC502C" w:rsidRPr="009215AF" w:rsidRDefault="00EC502C" w:rsidP="005175B9">
          <w:pPr>
            <w:pStyle w:val="Hlavika"/>
            <w:spacing w:before="0" w:after="0"/>
            <w:rPr>
              <w:rFonts w:ascii="Arial" w:hAnsi="Arial"/>
              <w:b/>
              <w:sz w:val="24"/>
            </w:rPr>
          </w:pPr>
          <w:r w:rsidRPr="009215AF">
            <w:rPr>
              <w:rFonts w:ascii="Arial" w:hAnsi="Arial"/>
              <w:sz w:val="24"/>
            </w:rPr>
            <w:t xml:space="preserve">Časť </w:t>
          </w:r>
        </w:p>
      </w:tc>
      <w:tc>
        <w:tcPr>
          <w:tcW w:w="4096" w:type="pct"/>
          <w:gridSpan w:val="3"/>
        </w:tcPr>
        <w:p w14:paraId="185F198C" w14:textId="77777777" w:rsidR="00EC502C" w:rsidRPr="009215AF" w:rsidRDefault="00EC502C" w:rsidP="005175B9">
          <w:pPr>
            <w:pStyle w:val="Hlavika"/>
            <w:spacing w:before="0" w:after="0"/>
            <w:rPr>
              <w:rFonts w:ascii="Arial" w:hAnsi="Arial"/>
              <w:sz w:val="24"/>
            </w:rPr>
          </w:pPr>
          <w:r w:rsidRPr="00685B40">
            <w:rPr>
              <w:rFonts w:ascii="Arial" w:hAnsi="Arial"/>
              <w:sz w:val="24"/>
            </w:rPr>
            <w:t>Podporné aktivity – Poradenstvo pre projekt</w:t>
          </w:r>
        </w:p>
      </w:tc>
    </w:tr>
    <w:tr w:rsidR="00EC502C" w:rsidRPr="00AA7FDA" w14:paraId="394F0D41" w14:textId="77777777" w:rsidTr="005175B9">
      <w:trPr>
        <w:trHeight w:val="360"/>
        <w:jc w:val="center"/>
      </w:trPr>
      <w:tc>
        <w:tcPr>
          <w:tcW w:w="904" w:type="pct"/>
        </w:tcPr>
        <w:p w14:paraId="779C9124" w14:textId="77777777" w:rsidR="00EC502C" w:rsidRPr="009215AF" w:rsidRDefault="00EC502C" w:rsidP="005175B9">
          <w:pPr>
            <w:pStyle w:val="Hlavika"/>
            <w:spacing w:before="0" w:after="0"/>
            <w:rPr>
              <w:rFonts w:ascii="Arial" w:hAnsi="Arial"/>
              <w:b/>
              <w:sz w:val="24"/>
            </w:rPr>
          </w:pPr>
          <w:r w:rsidRPr="009215AF">
            <w:rPr>
              <w:rFonts w:ascii="Arial" w:hAnsi="Arial"/>
              <w:sz w:val="24"/>
            </w:rPr>
            <w:t>Kategória</w:t>
          </w:r>
        </w:p>
      </w:tc>
      <w:tc>
        <w:tcPr>
          <w:tcW w:w="1943" w:type="pct"/>
        </w:tcPr>
        <w:p w14:paraId="4C7908C4" w14:textId="77777777" w:rsidR="00EC502C" w:rsidRPr="009215AF" w:rsidRDefault="00EC502C" w:rsidP="005175B9">
          <w:pPr>
            <w:pStyle w:val="Hlavika"/>
            <w:spacing w:before="0" w:after="0"/>
            <w:rPr>
              <w:rFonts w:ascii="Arial" w:hAnsi="Arial"/>
              <w:sz w:val="24"/>
            </w:rPr>
          </w:pPr>
          <w:r w:rsidRPr="009215AF">
            <w:rPr>
              <w:rFonts w:ascii="Arial" w:hAnsi="Arial"/>
              <w:sz w:val="24"/>
            </w:rPr>
            <w:t>Projektové riadenie</w:t>
          </w:r>
        </w:p>
      </w:tc>
      <w:tc>
        <w:tcPr>
          <w:tcW w:w="1298" w:type="pct"/>
        </w:tcPr>
        <w:p w14:paraId="5A521640" w14:textId="77777777" w:rsidR="00EC502C" w:rsidRPr="009215AF" w:rsidRDefault="00EC502C" w:rsidP="005175B9">
          <w:pPr>
            <w:pStyle w:val="Hlavika"/>
            <w:spacing w:before="0" w:after="0"/>
            <w:rPr>
              <w:rFonts w:ascii="Arial" w:hAnsi="Arial"/>
              <w:b/>
              <w:sz w:val="24"/>
            </w:rPr>
          </w:pPr>
          <w:r w:rsidRPr="009215AF">
            <w:rPr>
              <w:rFonts w:ascii="Arial" w:hAnsi="Arial"/>
              <w:sz w:val="24"/>
            </w:rPr>
            <w:t>Zo dňa</w:t>
          </w:r>
        </w:p>
      </w:tc>
      <w:tc>
        <w:tcPr>
          <w:tcW w:w="855" w:type="pct"/>
          <w:tcBorders>
            <w:bottom w:val="nil"/>
          </w:tcBorders>
        </w:tcPr>
        <w:p w14:paraId="1A2C874B" w14:textId="4E56C9E6" w:rsidR="00EC502C" w:rsidRPr="009215AF" w:rsidRDefault="00EC502C" w:rsidP="005C7DFD">
          <w:pPr>
            <w:pStyle w:val="Hlavika"/>
            <w:spacing w:before="0" w:after="0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26</w:t>
          </w:r>
          <w:r w:rsidRPr="009215AF">
            <w:rPr>
              <w:rFonts w:ascii="Arial" w:hAnsi="Arial"/>
              <w:sz w:val="24"/>
            </w:rPr>
            <w:t>.</w:t>
          </w:r>
          <w:r>
            <w:rPr>
              <w:rFonts w:ascii="Arial" w:hAnsi="Arial"/>
              <w:sz w:val="24"/>
            </w:rPr>
            <w:t>9</w:t>
          </w:r>
          <w:r w:rsidRPr="009215AF">
            <w:rPr>
              <w:rFonts w:ascii="Arial" w:hAnsi="Arial"/>
              <w:sz w:val="24"/>
            </w:rPr>
            <w:t>.2014</w:t>
          </w:r>
        </w:p>
      </w:tc>
    </w:tr>
    <w:tr w:rsidR="00EC502C" w:rsidRPr="00AA7FDA" w14:paraId="529CFDA9" w14:textId="77777777" w:rsidTr="005175B9">
      <w:trPr>
        <w:cantSplit/>
        <w:trHeight w:val="63"/>
        <w:jc w:val="center"/>
      </w:trPr>
      <w:tc>
        <w:tcPr>
          <w:tcW w:w="904" w:type="pct"/>
        </w:tcPr>
        <w:p w14:paraId="28BC5B9E" w14:textId="77777777" w:rsidR="00EC502C" w:rsidRPr="009215AF" w:rsidRDefault="00EC502C" w:rsidP="005175B9">
          <w:pPr>
            <w:pStyle w:val="Hlavika"/>
            <w:spacing w:before="0" w:after="0"/>
            <w:rPr>
              <w:rFonts w:ascii="Arial" w:hAnsi="Arial"/>
              <w:b/>
              <w:sz w:val="24"/>
            </w:rPr>
          </w:pPr>
          <w:r w:rsidRPr="009215AF">
            <w:rPr>
              <w:rFonts w:ascii="Arial" w:hAnsi="Arial"/>
              <w:sz w:val="24"/>
            </w:rPr>
            <w:t>Dokument</w:t>
          </w:r>
        </w:p>
      </w:tc>
      <w:tc>
        <w:tcPr>
          <w:tcW w:w="4096" w:type="pct"/>
          <w:gridSpan w:val="3"/>
        </w:tcPr>
        <w:p w14:paraId="5D13908B" w14:textId="60E83471" w:rsidR="00EC502C" w:rsidRPr="009215AF" w:rsidRDefault="00EC502C" w:rsidP="00723FF5">
          <w:pPr>
            <w:pStyle w:val="Hlavika"/>
            <w:tabs>
              <w:tab w:val="clear" w:pos="4513"/>
              <w:tab w:val="clear" w:pos="9026"/>
              <w:tab w:val="left" w:pos="2735"/>
            </w:tabs>
            <w:spacing w:before="0" w:after="0"/>
            <w:jc w:val="center"/>
            <w:rPr>
              <w:rFonts w:ascii="Arial" w:hAnsi="Arial"/>
              <w:sz w:val="24"/>
            </w:rPr>
          </w:pPr>
          <w:r>
            <w:fldChar w:fldCharType="begin"/>
          </w:r>
          <w:r>
            <w:instrText xml:space="preserve"> FILENAME   \* MERGEFORMAT </w:instrText>
          </w:r>
          <w:r>
            <w:rPr>
              <w:rFonts w:ascii="Arial" w:hAnsi="Arial"/>
              <w:noProof/>
              <w:sz w:val="24"/>
            </w:rPr>
            <w:fldChar w:fldCharType="end"/>
          </w:r>
          <w:r w:rsidR="00723FF5">
            <w:rPr>
              <w:rFonts w:ascii="Arial" w:hAnsi="Arial"/>
              <w:noProof/>
              <w:sz w:val="24"/>
            </w:rPr>
            <w:fldChar w:fldCharType="begin"/>
          </w:r>
          <w:r w:rsidR="00723FF5">
            <w:rPr>
              <w:rFonts w:ascii="Arial" w:hAnsi="Arial"/>
              <w:noProof/>
              <w:sz w:val="24"/>
            </w:rPr>
            <w:instrText xml:space="preserve"> FILENAME   \* MERGEFORMAT </w:instrText>
          </w:r>
          <w:r w:rsidR="00723FF5">
            <w:rPr>
              <w:rFonts w:ascii="Arial" w:hAnsi="Arial"/>
              <w:noProof/>
              <w:sz w:val="24"/>
            </w:rPr>
            <w:fldChar w:fldCharType="separate"/>
          </w:r>
          <w:r w:rsidR="00562B36">
            <w:rPr>
              <w:rFonts w:ascii="Arial" w:hAnsi="Arial"/>
              <w:noProof/>
              <w:sz w:val="24"/>
            </w:rPr>
            <w:t>PRO-RPO-generovanie-IPO-20140717-v1.0.docx</w:t>
          </w:r>
          <w:r w:rsidR="00723FF5">
            <w:rPr>
              <w:rFonts w:ascii="Arial" w:hAnsi="Arial"/>
              <w:noProof/>
              <w:sz w:val="24"/>
            </w:rPr>
            <w:fldChar w:fldCharType="end"/>
          </w:r>
        </w:p>
      </w:tc>
    </w:tr>
  </w:tbl>
  <w:p w14:paraId="6BBC1C13" w14:textId="77777777" w:rsidR="00EC502C" w:rsidRPr="00C90A4B" w:rsidRDefault="00EC502C" w:rsidP="005175B9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08027" w14:textId="77777777" w:rsidR="00EC502C" w:rsidRDefault="00EC502C" w:rsidP="005175B9">
    <w:pPr>
      <w:pStyle w:val="Hlavika"/>
      <w:rPr>
        <w:noProof/>
        <w:lang w:eastAsia="sk-SK"/>
      </w:rPr>
    </w:pPr>
    <w:r w:rsidRPr="00467964">
      <w:rPr>
        <w:noProof/>
        <w:lang w:eastAsia="sk-SK"/>
      </w:rPr>
      <w:drawing>
        <wp:inline distT="0" distB="0" distL="0" distR="0" wp14:anchorId="58A15237" wp14:editId="3FDBEF62">
          <wp:extent cx="5753100" cy="638175"/>
          <wp:effectExtent l="0" t="0" r="0" b="9525"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t xml:space="preserve"> </w:t>
    </w:r>
  </w:p>
  <w:p w14:paraId="54013454" w14:textId="77777777" w:rsidR="00EC502C" w:rsidRDefault="00EC502C" w:rsidP="005175B9">
    <w:pPr>
      <w:pStyle w:val="Hlavika"/>
      <w:rPr>
        <w:noProof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55168" behindDoc="0" locked="0" layoutInCell="1" allowOverlap="1" wp14:anchorId="737B4F8D" wp14:editId="5CA7C2F7">
          <wp:simplePos x="0" y="0"/>
          <wp:positionH relativeFrom="column">
            <wp:posOffset>367030</wp:posOffset>
          </wp:positionH>
          <wp:positionV relativeFrom="paragraph">
            <wp:posOffset>132715</wp:posOffset>
          </wp:positionV>
          <wp:extent cx="2390775" cy="410845"/>
          <wp:effectExtent l="0" t="0" r="9525" b="8255"/>
          <wp:wrapNone/>
          <wp:docPr id="15" name="Obrázok 15" descr="Logo Microco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Microco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410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6192" behindDoc="0" locked="0" layoutInCell="1" allowOverlap="1" wp14:anchorId="2AEF698E" wp14:editId="3DB12EAC">
          <wp:simplePos x="0" y="0"/>
          <wp:positionH relativeFrom="column">
            <wp:posOffset>3429000</wp:posOffset>
          </wp:positionH>
          <wp:positionV relativeFrom="paragraph">
            <wp:posOffset>56515</wp:posOffset>
          </wp:positionV>
          <wp:extent cx="1609725" cy="561975"/>
          <wp:effectExtent l="0" t="0" r="9525" b="9525"/>
          <wp:wrapNone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D416464" w14:textId="77777777" w:rsidR="00EC502C" w:rsidRDefault="00EC502C" w:rsidP="005175B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06FE8AD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CA847EC"/>
    <w:lvl w:ilvl="0">
      <w:start w:val="1"/>
      <w:numFmt w:val="bullet"/>
      <w:pStyle w:val="Odraz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DA03AB"/>
    <w:multiLevelType w:val="hybridMultilevel"/>
    <w:tmpl w:val="CC72CC42"/>
    <w:lvl w:ilvl="0" w:tplc="D76CE0C6">
      <w:start w:val="4"/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0700A"/>
    <w:multiLevelType w:val="hybridMultilevel"/>
    <w:tmpl w:val="4538C080"/>
    <w:lvl w:ilvl="0" w:tplc="FFFFFFFF">
      <w:start w:val="1"/>
      <w:numFmt w:val="bullet"/>
      <w:pStyle w:val="Zoznamsodrkami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860A1A"/>
    <w:multiLevelType w:val="multilevel"/>
    <w:tmpl w:val="48D6A6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</w:lvl>
    <w:lvl w:ilvl="2">
      <w:start w:val="1"/>
      <w:numFmt w:val="decimal"/>
      <w:lvlText w:val="%1.%2.%3"/>
      <w:lvlJc w:val="left"/>
      <w:pPr>
        <w:tabs>
          <w:tab w:val="num" w:pos="6674"/>
        </w:tabs>
        <w:ind w:left="6674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>
    <w:nsid w:val="47EB3B72"/>
    <w:multiLevelType w:val="hybridMultilevel"/>
    <w:tmpl w:val="746E36EA"/>
    <w:lvl w:ilvl="0" w:tplc="FC70E228">
      <w:start w:val="1"/>
      <w:numFmt w:val="decimal"/>
      <w:pStyle w:val="Priloha"/>
      <w:lvlText w:val="Príloha č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F5E3B"/>
    <w:multiLevelType w:val="multilevel"/>
    <w:tmpl w:val="C908BF6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427"/>
        </w:tabs>
        <w:ind w:left="1427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8659"/>
        </w:tabs>
        <w:ind w:left="8659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2744191"/>
    <w:multiLevelType w:val="hybridMultilevel"/>
    <w:tmpl w:val="FBA235A4"/>
    <w:lvl w:ilvl="0" w:tplc="FFFFFFFF">
      <w:start w:val="1"/>
      <w:numFmt w:val="bullet"/>
      <w:pStyle w:val="ListBullet1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76585ACC"/>
    <w:multiLevelType w:val="hybridMultilevel"/>
    <w:tmpl w:val="36D25DE4"/>
    <w:lvl w:ilvl="0" w:tplc="FFFFFFFF">
      <w:start w:val="3"/>
      <w:numFmt w:val="bullet"/>
      <w:pStyle w:val="Bulleted2"/>
      <w:lvlText w:val="-"/>
      <w:lvlJc w:val="left"/>
      <w:pPr>
        <w:ind w:left="717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pStyle w:val="Bulleted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5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7"/>
  </w:num>
  <w:num w:numId="12">
    <w:abstractNumId w:val="7"/>
  </w:num>
  <w:num w:numId="13">
    <w:abstractNumId w:val="4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65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CE"/>
    <w:rsid w:val="00000F04"/>
    <w:rsid w:val="00004328"/>
    <w:rsid w:val="0000559C"/>
    <w:rsid w:val="000128CE"/>
    <w:rsid w:val="0001617A"/>
    <w:rsid w:val="00022777"/>
    <w:rsid w:val="000259BF"/>
    <w:rsid w:val="0003798D"/>
    <w:rsid w:val="00044689"/>
    <w:rsid w:val="00047ECF"/>
    <w:rsid w:val="00051FE4"/>
    <w:rsid w:val="0006054C"/>
    <w:rsid w:val="00060CBF"/>
    <w:rsid w:val="00072F4F"/>
    <w:rsid w:val="00074B49"/>
    <w:rsid w:val="0008633B"/>
    <w:rsid w:val="000900A0"/>
    <w:rsid w:val="00096A65"/>
    <w:rsid w:val="000A1520"/>
    <w:rsid w:val="000A75DC"/>
    <w:rsid w:val="000B5ECB"/>
    <w:rsid w:val="000C0B92"/>
    <w:rsid w:val="000C4C68"/>
    <w:rsid w:val="000C6E78"/>
    <w:rsid w:val="000D138B"/>
    <w:rsid w:val="000D6614"/>
    <w:rsid w:val="000E4E68"/>
    <w:rsid w:val="000E6C56"/>
    <w:rsid w:val="000F1701"/>
    <w:rsid w:val="000F4037"/>
    <w:rsid w:val="00103BD8"/>
    <w:rsid w:val="00105D69"/>
    <w:rsid w:val="00106C8F"/>
    <w:rsid w:val="0010763E"/>
    <w:rsid w:val="0012379C"/>
    <w:rsid w:val="0012580E"/>
    <w:rsid w:val="00126BC0"/>
    <w:rsid w:val="001354D3"/>
    <w:rsid w:val="00136612"/>
    <w:rsid w:val="00137DD8"/>
    <w:rsid w:val="00151F63"/>
    <w:rsid w:val="001561E9"/>
    <w:rsid w:val="00165AF8"/>
    <w:rsid w:val="00173FF3"/>
    <w:rsid w:val="001805A5"/>
    <w:rsid w:val="0018413A"/>
    <w:rsid w:val="001A477A"/>
    <w:rsid w:val="001A6C00"/>
    <w:rsid w:val="001B15B8"/>
    <w:rsid w:val="001B46BE"/>
    <w:rsid w:val="001B4C47"/>
    <w:rsid w:val="001B5A6F"/>
    <w:rsid w:val="001C031F"/>
    <w:rsid w:val="001D6BCB"/>
    <w:rsid w:val="001E27D7"/>
    <w:rsid w:val="001E3FDE"/>
    <w:rsid w:val="001E427A"/>
    <w:rsid w:val="001E5C46"/>
    <w:rsid w:val="001E70E0"/>
    <w:rsid w:val="001E7F6A"/>
    <w:rsid w:val="00205C35"/>
    <w:rsid w:val="002116ED"/>
    <w:rsid w:val="00212212"/>
    <w:rsid w:val="00214DE6"/>
    <w:rsid w:val="0022279B"/>
    <w:rsid w:val="00225C39"/>
    <w:rsid w:val="00234D8A"/>
    <w:rsid w:val="00240723"/>
    <w:rsid w:val="00243F95"/>
    <w:rsid w:val="0025238A"/>
    <w:rsid w:val="002545DD"/>
    <w:rsid w:val="00255675"/>
    <w:rsid w:val="00260057"/>
    <w:rsid w:val="00263D5C"/>
    <w:rsid w:val="00266E73"/>
    <w:rsid w:val="00271321"/>
    <w:rsid w:val="00274DBC"/>
    <w:rsid w:val="00291B11"/>
    <w:rsid w:val="00296A52"/>
    <w:rsid w:val="002A429E"/>
    <w:rsid w:val="002B21DC"/>
    <w:rsid w:val="002B2D89"/>
    <w:rsid w:val="002C1245"/>
    <w:rsid w:val="002D06EB"/>
    <w:rsid w:val="002D15A2"/>
    <w:rsid w:val="002D31CD"/>
    <w:rsid w:val="002D41FA"/>
    <w:rsid w:val="002E043E"/>
    <w:rsid w:val="002F1C14"/>
    <w:rsid w:val="002F6989"/>
    <w:rsid w:val="0030175C"/>
    <w:rsid w:val="0030600D"/>
    <w:rsid w:val="00306557"/>
    <w:rsid w:val="00316EE1"/>
    <w:rsid w:val="0032127A"/>
    <w:rsid w:val="00327A79"/>
    <w:rsid w:val="00331447"/>
    <w:rsid w:val="00334F02"/>
    <w:rsid w:val="003411DC"/>
    <w:rsid w:val="00342B3B"/>
    <w:rsid w:val="00351182"/>
    <w:rsid w:val="0035260A"/>
    <w:rsid w:val="00354733"/>
    <w:rsid w:val="00354C7B"/>
    <w:rsid w:val="00355330"/>
    <w:rsid w:val="00362525"/>
    <w:rsid w:val="00371200"/>
    <w:rsid w:val="003916A7"/>
    <w:rsid w:val="00391DED"/>
    <w:rsid w:val="00392324"/>
    <w:rsid w:val="003954EB"/>
    <w:rsid w:val="003A18CF"/>
    <w:rsid w:val="003A3DC3"/>
    <w:rsid w:val="003A4C7E"/>
    <w:rsid w:val="003A5D90"/>
    <w:rsid w:val="003A6140"/>
    <w:rsid w:val="003A6E9A"/>
    <w:rsid w:val="003C01FB"/>
    <w:rsid w:val="003C34F4"/>
    <w:rsid w:val="003C7278"/>
    <w:rsid w:val="003C7371"/>
    <w:rsid w:val="003D0558"/>
    <w:rsid w:val="003D08C7"/>
    <w:rsid w:val="003D12E2"/>
    <w:rsid w:val="003D2267"/>
    <w:rsid w:val="003D7D1F"/>
    <w:rsid w:val="003E2D44"/>
    <w:rsid w:val="003E3124"/>
    <w:rsid w:val="003E3D98"/>
    <w:rsid w:val="003E77C5"/>
    <w:rsid w:val="003F055B"/>
    <w:rsid w:val="003F0EA0"/>
    <w:rsid w:val="003F150C"/>
    <w:rsid w:val="003F5021"/>
    <w:rsid w:val="003F513E"/>
    <w:rsid w:val="00400837"/>
    <w:rsid w:val="00400F15"/>
    <w:rsid w:val="0041203B"/>
    <w:rsid w:val="00413475"/>
    <w:rsid w:val="00414CC3"/>
    <w:rsid w:val="00421343"/>
    <w:rsid w:val="00424A2E"/>
    <w:rsid w:val="004257DC"/>
    <w:rsid w:val="004337CB"/>
    <w:rsid w:val="00433B6E"/>
    <w:rsid w:val="00440885"/>
    <w:rsid w:val="004466B4"/>
    <w:rsid w:val="00447814"/>
    <w:rsid w:val="004536C6"/>
    <w:rsid w:val="00456155"/>
    <w:rsid w:val="00463DA8"/>
    <w:rsid w:val="0046749A"/>
    <w:rsid w:val="004748B6"/>
    <w:rsid w:val="00474CE0"/>
    <w:rsid w:val="00480CE2"/>
    <w:rsid w:val="00483844"/>
    <w:rsid w:val="004A3062"/>
    <w:rsid w:val="004A725C"/>
    <w:rsid w:val="004B349E"/>
    <w:rsid w:val="004B4338"/>
    <w:rsid w:val="004C1710"/>
    <w:rsid w:val="004C2314"/>
    <w:rsid w:val="004D091A"/>
    <w:rsid w:val="004D4A8B"/>
    <w:rsid w:val="004E2FC5"/>
    <w:rsid w:val="004E6E24"/>
    <w:rsid w:val="004F5027"/>
    <w:rsid w:val="005014E2"/>
    <w:rsid w:val="00506495"/>
    <w:rsid w:val="00507767"/>
    <w:rsid w:val="00516434"/>
    <w:rsid w:val="005175B9"/>
    <w:rsid w:val="00517BCA"/>
    <w:rsid w:val="00525712"/>
    <w:rsid w:val="00526949"/>
    <w:rsid w:val="00530235"/>
    <w:rsid w:val="00532750"/>
    <w:rsid w:val="00533714"/>
    <w:rsid w:val="0053430E"/>
    <w:rsid w:val="005403D3"/>
    <w:rsid w:val="005453A8"/>
    <w:rsid w:val="00547B90"/>
    <w:rsid w:val="0055182B"/>
    <w:rsid w:val="005548E2"/>
    <w:rsid w:val="00560835"/>
    <w:rsid w:val="005614A9"/>
    <w:rsid w:val="00562B36"/>
    <w:rsid w:val="00571082"/>
    <w:rsid w:val="005758B6"/>
    <w:rsid w:val="005777BD"/>
    <w:rsid w:val="0058376A"/>
    <w:rsid w:val="005913D5"/>
    <w:rsid w:val="00593C80"/>
    <w:rsid w:val="005953E7"/>
    <w:rsid w:val="00595B66"/>
    <w:rsid w:val="005A25C8"/>
    <w:rsid w:val="005A2C4D"/>
    <w:rsid w:val="005A34CD"/>
    <w:rsid w:val="005A6876"/>
    <w:rsid w:val="005B333B"/>
    <w:rsid w:val="005B6DF3"/>
    <w:rsid w:val="005C12C1"/>
    <w:rsid w:val="005C3648"/>
    <w:rsid w:val="005C568A"/>
    <w:rsid w:val="005C7DFD"/>
    <w:rsid w:val="005D0781"/>
    <w:rsid w:val="005D296B"/>
    <w:rsid w:val="005E0866"/>
    <w:rsid w:val="005E1F52"/>
    <w:rsid w:val="005F0CE2"/>
    <w:rsid w:val="005F532D"/>
    <w:rsid w:val="005F653A"/>
    <w:rsid w:val="00603A35"/>
    <w:rsid w:val="006113AD"/>
    <w:rsid w:val="0061412D"/>
    <w:rsid w:val="00616F30"/>
    <w:rsid w:val="006202F6"/>
    <w:rsid w:val="006256B4"/>
    <w:rsid w:val="00625AF2"/>
    <w:rsid w:val="00626F83"/>
    <w:rsid w:val="00630834"/>
    <w:rsid w:val="00644218"/>
    <w:rsid w:val="0064445C"/>
    <w:rsid w:val="0065032C"/>
    <w:rsid w:val="0065263C"/>
    <w:rsid w:val="00665ABE"/>
    <w:rsid w:val="006723D9"/>
    <w:rsid w:val="00675691"/>
    <w:rsid w:val="00676B2F"/>
    <w:rsid w:val="00681358"/>
    <w:rsid w:val="006831B1"/>
    <w:rsid w:val="006836E7"/>
    <w:rsid w:val="006866DF"/>
    <w:rsid w:val="0068678F"/>
    <w:rsid w:val="006966BE"/>
    <w:rsid w:val="0069693C"/>
    <w:rsid w:val="006A3C0C"/>
    <w:rsid w:val="006A42DE"/>
    <w:rsid w:val="006A5856"/>
    <w:rsid w:val="006A74A0"/>
    <w:rsid w:val="006B0430"/>
    <w:rsid w:val="006B2988"/>
    <w:rsid w:val="006B4D3E"/>
    <w:rsid w:val="006B5545"/>
    <w:rsid w:val="006B627E"/>
    <w:rsid w:val="006C0958"/>
    <w:rsid w:val="006C17A5"/>
    <w:rsid w:val="006C448B"/>
    <w:rsid w:val="006E0BC4"/>
    <w:rsid w:val="006E6E9D"/>
    <w:rsid w:val="006F0C1C"/>
    <w:rsid w:val="006F28A3"/>
    <w:rsid w:val="006F5779"/>
    <w:rsid w:val="007038A5"/>
    <w:rsid w:val="00716D2D"/>
    <w:rsid w:val="00723FF5"/>
    <w:rsid w:val="0073015F"/>
    <w:rsid w:val="0073024F"/>
    <w:rsid w:val="00731D9C"/>
    <w:rsid w:val="007426CE"/>
    <w:rsid w:val="007432AB"/>
    <w:rsid w:val="0075317A"/>
    <w:rsid w:val="00756C01"/>
    <w:rsid w:val="00760FEB"/>
    <w:rsid w:val="0076345E"/>
    <w:rsid w:val="00764FA9"/>
    <w:rsid w:val="00765426"/>
    <w:rsid w:val="00767030"/>
    <w:rsid w:val="00783CA0"/>
    <w:rsid w:val="00790437"/>
    <w:rsid w:val="00793D66"/>
    <w:rsid w:val="007A08DB"/>
    <w:rsid w:val="007B1896"/>
    <w:rsid w:val="007B42C0"/>
    <w:rsid w:val="007B6DA0"/>
    <w:rsid w:val="007C23C2"/>
    <w:rsid w:val="007D16DD"/>
    <w:rsid w:val="007E1A0B"/>
    <w:rsid w:val="007E2BDB"/>
    <w:rsid w:val="007F07E9"/>
    <w:rsid w:val="007F1A6B"/>
    <w:rsid w:val="007F2CE3"/>
    <w:rsid w:val="0080209F"/>
    <w:rsid w:val="00804E96"/>
    <w:rsid w:val="00805150"/>
    <w:rsid w:val="008118DE"/>
    <w:rsid w:val="0081491D"/>
    <w:rsid w:val="008177EA"/>
    <w:rsid w:val="00817BC0"/>
    <w:rsid w:val="008222E9"/>
    <w:rsid w:val="00830359"/>
    <w:rsid w:val="00830EB8"/>
    <w:rsid w:val="00836748"/>
    <w:rsid w:val="008420D9"/>
    <w:rsid w:val="00860256"/>
    <w:rsid w:val="008768FC"/>
    <w:rsid w:val="008775BE"/>
    <w:rsid w:val="00880F36"/>
    <w:rsid w:val="008814B3"/>
    <w:rsid w:val="0088157F"/>
    <w:rsid w:val="00883884"/>
    <w:rsid w:val="00885F91"/>
    <w:rsid w:val="00896E22"/>
    <w:rsid w:val="008A2062"/>
    <w:rsid w:val="008B5CAF"/>
    <w:rsid w:val="008C0AEE"/>
    <w:rsid w:val="008C29CF"/>
    <w:rsid w:val="008C47E8"/>
    <w:rsid w:val="008D45C1"/>
    <w:rsid w:val="008D4AA2"/>
    <w:rsid w:val="008D535D"/>
    <w:rsid w:val="008E6673"/>
    <w:rsid w:val="008F07F6"/>
    <w:rsid w:val="008F1D2D"/>
    <w:rsid w:val="00905CF2"/>
    <w:rsid w:val="0090771E"/>
    <w:rsid w:val="009129F3"/>
    <w:rsid w:val="00914392"/>
    <w:rsid w:val="00935158"/>
    <w:rsid w:val="00940F07"/>
    <w:rsid w:val="00943FA0"/>
    <w:rsid w:val="0095754F"/>
    <w:rsid w:val="0096703B"/>
    <w:rsid w:val="00977951"/>
    <w:rsid w:val="00981891"/>
    <w:rsid w:val="00984E54"/>
    <w:rsid w:val="00987AD7"/>
    <w:rsid w:val="009909B1"/>
    <w:rsid w:val="00994BAC"/>
    <w:rsid w:val="009A284F"/>
    <w:rsid w:val="009A564F"/>
    <w:rsid w:val="009B2CEF"/>
    <w:rsid w:val="009B2E6E"/>
    <w:rsid w:val="009B35A1"/>
    <w:rsid w:val="009B3DB6"/>
    <w:rsid w:val="009B50A7"/>
    <w:rsid w:val="009B7A44"/>
    <w:rsid w:val="009C3388"/>
    <w:rsid w:val="009D19E5"/>
    <w:rsid w:val="009D5E07"/>
    <w:rsid w:val="009D6C1F"/>
    <w:rsid w:val="009E4DA7"/>
    <w:rsid w:val="00A01882"/>
    <w:rsid w:val="00A2025C"/>
    <w:rsid w:val="00A233CA"/>
    <w:rsid w:val="00A34DD2"/>
    <w:rsid w:val="00A36079"/>
    <w:rsid w:val="00A4200B"/>
    <w:rsid w:val="00A44B4E"/>
    <w:rsid w:val="00A46E8F"/>
    <w:rsid w:val="00A50F90"/>
    <w:rsid w:val="00A552F7"/>
    <w:rsid w:val="00A60C8D"/>
    <w:rsid w:val="00A63854"/>
    <w:rsid w:val="00A658A8"/>
    <w:rsid w:val="00A72885"/>
    <w:rsid w:val="00A72A14"/>
    <w:rsid w:val="00A7792F"/>
    <w:rsid w:val="00A84422"/>
    <w:rsid w:val="00A84567"/>
    <w:rsid w:val="00A94E7F"/>
    <w:rsid w:val="00A95DA6"/>
    <w:rsid w:val="00A95F2A"/>
    <w:rsid w:val="00AA0D7E"/>
    <w:rsid w:val="00AA100F"/>
    <w:rsid w:val="00AA7D09"/>
    <w:rsid w:val="00AB70C8"/>
    <w:rsid w:val="00AC15EC"/>
    <w:rsid w:val="00AC3944"/>
    <w:rsid w:val="00AC55CF"/>
    <w:rsid w:val="00AC7AA3"/>
    <w:rsid w:val="00AD09A7"/>
    <w:rsid w:val="00AD4454"/>
    <w:rsid w:val="00AD74DD"/>
    <w:rsid w:val="00AE2F37"/>
    <w:rsid w:val="00AE3F63"/>
    <w:rsid w:val="00AE4186"/>
    <w:rsid w:val="00AE45AA"/>
    <w:rsid w:val="00AE4B62"/>
    <w:rsid w:val="00AF2DD6"/>
    <w:rsid w:val="00AF5CAD"/>
    <w:rsid w:val="00B16C0A"/>
    <w:rsid w:val="00B16F1F"/>
    <w:rsid w:val="00B23C87"/>
    <w:rsid w:val="00B431F4"/>
    <w:rsid w:val="00B46792"/>
    <w:rsid w:val="00B5114B"/>
    <w:rsid w:val="00B526C5"/>
    <w:rsid w:val="00B52F55"/>
    <w:rsid w:val="00B532E8"/>
    <w:rsid w:val="00B535F1"/>
    <w:rsid w:val="00B55706"/>
    <w:rsid w:val="00B55DA3"/>
    <w:rsid w:val="00B64CBA"/>
    <w:rsid w:val="00B67897"/>
    <w:rsid w:val="00B72D6A"/>
    <w:rsid w:val="00B829AD"/>
    <w:rsid w:val="00B9473F"/>
    <w:rsid w:val="00B95ADF"/>
    <w:rsid w:val="00BA345A"/>
    <w:rsid w:val="00BA3846"/>
    <w:rsid w:val="00BA3EC9"/>
    <w:rsid w:val="00BB0BFE"/>
    <w:rsid w:val="00BB4059"/>
    <w:rsid w:val="00BB4424"/>
    <w:rsid w:val="00BC5622"/>
    <w:rsid w:val="00BC7936"/>
    <w:rsid w:val="00BD1047"/>
    <w:rsid w:val="00BD1B9D"/>
    <w:rsid w:val="00BD2A7D"/>
    <w:rsid w:val="00BE6C7D"/>
    <w:rsid w:val="00BF16E4"/>
    <w:rsid w:val="00BF317D"/>
    <w:rsid w:val="00BF4DBF"/>
    <w:rsid w:val="00C04250"/>
    <w:rsid w:val="00C12BB7"/>
    <w:rsid w:val="00C17C6D"/>
    <w:rsid w:val="00C271DC"/>
    <w:rsid w:val="00C31E4B"/>
    <w:rsid w:val="00C33E84"/>
    <w:rsid w:val="00C40898"/>
    <w:rsid w:val="00C506B2"/>
    <w:rsid w:val="00C62FB4"/>
    <w:rsid w:val="00C64FFF"/>
    <w:rsid w:val="00C67431"/>
    <w:rsid w:val="00C729EB"/>
    <w:rsid w:val="00C73E93"/>
    <w:rsid w:val="00C92FA6"/>
    <w:rsid w:val="00C93F11"/>
    <w:rsid w:val="00C96DCD"/>
    <w:rsid w:val="00CA0C48"/>
    <w:rsid w:val="00CA3B62"/>
    <w:rsid w:val="00CB2D2F"/>
    <w:rsid w:val="00CB38AC"/>
    <w:rsid w:val="00CC4BB5"/>
    <w:rsid w:val="00CC4FCA"/>
    <w:rsid w:val="00CC7AA5"/>
    <w:rsid w:val="00CD12D8"/>
    <w:rsid w:val="00CD630A"/>
    <w:rsid w:val="00CD7902"/>
    <w:rsid w:val="00CE0F9C"/>
    <w:rsid w:val="00CF2E72"/>
    <w:rsid w:val="00CF42BC"/>
    <w:rsid w:val="00CF5389"/>
    <w:rsid w:val="00CF7DB4"/>
    <w:rsid w:val="00D02E0C"/>
    <w:rsid w:val="00D03291"/>
    <w:rsid w:val="00D13204"/>
    <w:rsid w:val="00D13617"/>
    <w:rsid w:val="00D15305"/>
    <w:rsid w:val="00D16935"/>
    <w:rsid w:val="00D179C7"/>
    <w:rsid w:val="00D203C7"/>
    <w:rsid w:val="00D26EBD"/>
    <w:rsid w:val="00D32DDF"/>
    <w:rsid w:val="00D410A9"/>
    <w:rsid w:val="00D45621"/>
    <w:rsid w:val="00D465DA"/>
    <w:rsid w:val="00D53FBC"/>
    <w:rsid w:val="00D54ECA"/>
    <w:rsid w:val="00D6074D"/>
    <w:rsid w:val="00D75EE6"/>
    <w:rsid w:val="00D84634"/>
    <w:rsid w:val="00D84785"/>
    <w:rsid w:val="00D9064A"/>
    <w:rsid w:val="00D92104"/>
    <w:rsid w:val="00D93EAD"/>
    <w:rsid w:val="00D943AE"/>
    <w:rsid w:val="00D9585F"/>
    <w:rsid w:val="00DA178F"/>
    <w:rsid w:val="00DB5AB1"/>
    <w:rsid w:val="00DB7C2B"/>
    <w:rsid w:val="00DB7E65"/>
    <w:rsid w:val="00DC5303"/>
    <w:rsid w:val="00DC7D1C"/>
    <w:rsid w:val="00DD142B"/>
    <w:rsid w:val="00DE0990"/>
    <w:rsid w:val="00DE267C"/>
    <w:rsid w:val="00DF0232"/>
    <w:rsid w:val="00DF2D94"/>
    <w:rsid w:val="00DF7DDD"/>
    <w:rsid w:val="00E005EB"/>
    <w:rsid w:val="00E0467C"/>
    <w:rsid w:val="00E04F17"/>
    <w:rsid w:val="00E0658A"/>
    <w:rsid w:val="00E1132D"/>
    <w:rsid w:val="00E15D3C"/>
    <w:rsid w:val="00E16C5B"/>
    <w:rsid w:val="00E2619B"/>
    <w:rsid w:val="00E3574E"/>
    <w:rsid w:val="00E367E8"/>
    <w:rsid w:val="00E37FC3"/>
    <w:rsid w:val="00E43E2B"/>
    <w:rsid w:val="00E453F3"/>
    <w:rsid w:val="00E500A0"/>
    <w:rsid w:val="00E54583"/>
    <w:rsid w:val="00E56460"/>
    <w:rsid w:val="00E6009A"/>
    <w:rsid w:val="00E635E3"/>
    <w:rsid w:val="00E63F69"/>
    <w:rsid w:val="00E67337"/>
    <w:rsid w:val="00E70B74"/>
    <w:rsid w:val="00E75231"/>
    <w:rsid w:val="00E80FAD"/>
    <w:rsid w:val="00E8190B"/>
    <w:rsid w:val="00E8352E"/>
    <w:rsid w:val="00E84B7D"/>
    <w:rsid w:val="00E84F9E"/>
    <w:rsid w:val="00E928A0"/>
    <w:rsid w:val="00E94FF6"/>
    <w:rsid w:val="00EA34F2"/>
    <w:rsid w:val="00EB5BC6"/>
    <w:rsid w:val="00EB6F74"/>
    <w:rsid w:val="00EC502C"/>
    <w:rsid w:val="00ED2960"/>
    <w:rsid w:val="00ED444F"/>
    <w:rsid w:val="00EF34D5"/>
    <w:rsid w:val="00EF603B"/>
    <w:rsid w:val="00EF6910"/>
    <w:rsid w:val="00F00C70"/>
    <w:rsid w:val="00F06756"/>
    <w:rsid w:val="00F12524"/>
    <w:rsid w:val="00F12F38"/>
    <w:rsid w:val="00F13C0D"/>
    <w:rsid w:val="00F20402"/>
    <w:rsid w:val="00F31CAE"/>
    <w:rsid w:val="00F40EA9"/>
    <w:rsid w:val="00F4537E"/>
    <w:rsid w:val="00F5242D"/>
    <w:rsid w:val="00F52586"/>
    <w:rsid w:val="00F53C8B"/>
    <w:rsid w:val="00F55A3B"/>
    <w:rsid w:val="00F60CAE"/>
    <w:rsid w:val="00F631C8"/>
    <w:rsid w:val="00F6695F"/>
    <w:rsid w:val="00F67283"/>
    <w:rsid w:val="00F73ECF"/>
    <w:rsid w:val="00F8103A"/>
    <w:rsid w:val="00F839AE"/>
    <w:rsid w:val="00F85832"/>
    <w:rsid w:val="00F9095E"/>
    <w:rsid w:val="00F96360"/>
    <w:rsid w:val="00FA02DF"/>
    <w:rsid w:val="00FA48BC"/>
    <w:rsid w:val="00FA6CD2"/>
    <w:rsid w:val="00FB74D9"/>
    <w:rsid w:val="00FC268C"/>
    <w:rsid w:val="00FC2E90"/>
    <w:rsid w:val="00FC452B"/>
    <w:rsid w:val="00FC5725"/>
    <w:rsid w:val="00FD3C07"/>
    <w:rsid w:val="00FE1F80"/>
    <w:rsid w:val="00FE56CC"/>
    <w:rsid w:val="00FE6D77"/>
    <w:rsid w:val="00FF0BBB"/>
    <w:rsid w:val="00FF489B"/>
    <w:rsid w:val="00FF53D2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4A87ED"/>
  <w15:docId w15:val="{F71FB42D-2653-462B-920D-E29503B4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26CE"/>
    <w:pPr>
      <w:spacing w:before="120" w:after="120" w:line="240" w:lineRule="auto"/>
      <w:jc w:val="both"/>
    </w:pPr>
    <w:rPr>
      <w:rFonts w:ascii="Arial" w:eastAsia="Calibri" w:hAnsi="Arial" w:cs="Times New Roman"/>
      <w:sz w:val="24"/>
    </w:rPr>
  </w:style>
  <w:style w:type="paragraph" w:styleId="Nadpis1">
    <w:name w:val="heading 1"/>
    <w:aliases w:val="Kapitola,H1,V_Head1,NADPIS,h1,DOC_Head1,Záhlaví 1,Nadpis 1T,Kapitola 1,kap."/>
    <w:basedOn w:val="Normlny"/>
    <w:next w:val="Normlny"/>
    <w:link w:val="Nadpis1Char"/>
    <w:uiPriority w:val="99"/>
    <w:qFormat/>
    <w:rsid w:val="006113AD"/>
    <w:pPr>
      <w:keepNext/>
      <w:pageBreakBefore/>
      <w:numPr>
        <w:numId w:val="1"/>
      </w:numPr>
      <w:suppressAutoHyphens/>
      <w:spacing w:before="480"/>
      <w:outlineLvl w:val="0"/>
    </w:pPr>
    <w:rPr>
      <w:rFonts w:eastAsia="Times New Roman"/>
      <w:b/>
      <w:bCs/>
      <w:kern w:val="32"/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rsid w:val="007426CE"/>
    <w:pPr>
      <w:keepNext/>
      <w:numPr>
        <w:ilvl w:val="1"/>
        <w:numId w:val="1"/>
      </w:numPr>
      <w:suppressAutoHyphens/>
      <w:spacing w:before="480"/>
      <w:outlineLvl w:val="1"/>
    </w:pPr>
    <w:rPr>
      <w:rFonts w:eastAsia="Times New Roman"/>
      <w:b/>
      <w:bCs/>
      <w:iCs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ED444F"/>
    <w:pPr>
      <w:keepNext/>
      <w:numPr>
        <w:ilvl w:val="2"/>
        <w:numId w:val="1"/>
      </w:numPr>
      <w:tabs>
        <w:tab w:val="clear" w:pos="8659"/>
        <w:tab w:val="left" w:pos="431"/>
      </w:tabs>
      <w:suppressAutoHyphens/>
      <w:spacing w:before="360"/>
      <w:ind w:left="578" w:hanging="578"/>
      <w:outlineLvl w:val="2"/>
    </w:pPr>
    <w:rPr>
      <w:rFonts w:eastAsia="Times New Roman"/>
      <w:b/>
      <w:bCs/>
      <w:kern w:val="32"/>
      <w:sz w:val="28"/>
      <w:szCs w:val="28"/>
    </w:rPr>
  </w:style>
  <w:style w:type="paragraph" w:styleId="Nadpis4">
    <w:name w:val="heading 4"/>
    <w:aliases w:val="h4,Kapitola 4,Nadpis 4T,V_Head4,DOC_Head4,podkap. 3"/>
    <w:basedOn w:val="Normlny"/>
    <w:next w:val="Normlny"/>
    <w:link w:val="Nadpis4Char"/>
    <w:uiPriority w:val="99"/>
    <w:qFormat/>
    <w:rsid w:val="007426CE"/>
    <w:pPr>
      <w:keepNext/>
      <w:numPr>
        <w:ilvl w:val="3"/>
        <w:numId w:val="1"/>
      </w:numPr>
      <w:spacing w:before="240"/>
      <w:jc w:val="left"/>
      <w:outlineLvl w:val="3"/>
    </w:pPr>
    <w:rPr>
      <w:rFonts w:eastAsia="Times New Roman"/>
      <w:b/>
      <w:bCs/>
      <w:szCs w:val="24"/>
    </w:rPr>
  </w:style>
  <w:style w:type="paragraph" w:styleId="Nadpis5">
    <w:name w:val="heading 5"/>
    <w:basedOn w:val="Normlny"/>
    <w:next w:val="Normlny"/>
    <w:link w:val="Nadpis5Char"/>
    <w:qFormat/>
    <w:rsid w:val="007426CE"/>
    <w:pPr>
      <w:keepNext/>
      <w:keepLines/>
      <w:spacing w:before="200"/>
      <w:ind w:left="1008" w:hanging="1008"/>
      <w:outlineLvl w:val="4"/>
    </w:pPr>
    <w:rPr>
      <w:rFonts w:ascii="Cambria" w:eastAsia="Times New Roman" w:hAnsi="Cambria"/>
      <w:color w:val="243F60"/>
      <w:sz w:val="22"/>
    </w:rPr>
  </w:style>
  <w:style w:type="paragraph" w:styleId="Nadpis6">
    <w:name w:val="heading 6"/>
    <w:basedOn w:val="Normlny"/>
    <w:next w:val="Normlny"/>
    <w:link w:val="Nadpis6Char"/>
    <w:qFormat/>
    <w:rsid w:val="007426CE"/>
    <w:pPr>
      <w:keepNext/>
      <w:keepLines/>
      <w:spacing w:before="200"/>
      <w:ind w:left="1152" w:hanging="1152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Nadpis7">
    <w:name w:val="heading 7"/>
    <w:basedOn w:val="Normlny"/>
    <w:next w:val="Normlny"/>
    <w:link w:val="Nadpis7Char"/>
    <w:qFormat/>
    <w:rsid w:val="007426CE"/>
    <w:pPr>
      <w:keepNext/>
      <w:keepLines/>
      <w:spacing w:before="200"/>
      <w:ind w:left="1296" w:hanging="1296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qFormat/>
    <w:rsid w:val="007426CE"/>
    <w:pPr>
      <w:keepNext/>
      <w:keepLines/>
      <w:spacing w:before="200"/>
      <w:ind w:left="1440" w:hanging="14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qFormat/>
    <w:rsid w:val="007426CE"/>
    <w:pPr>
      <w:keepNext/>
      <w:keepLines/>
      <w:spacing w:before="20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Char,H1 Char,V_Head1 Char,NADPIS Char,h1 Char,DOC_Head1 Char,Záhlaví 1 Char,Nadpis 1T Char,Kapitola 1 Char,kap. Char"/>
    <w:basedOn w:val="Predvolenpsmoodseku"/>
    <w:link w:val="Nadpis1"/>
    <w:uiPriority w:val="99"/>
    <w:rsid w:val="006113AD"/>
    <w:rPr>
      <w:rFonts w:ascii="Arial" w:eastAsia="Times New Roman" w:hAnsi="Arial" w:cs="Times New Roman"/>
      <w:b/>
      <w:bCs/>
      <w:kern w:val="32"/>
      <w:sz w:val="40"/>
      <w:szCs w:val="40"/>
    </w:rPr>
  </w:style>
  <w:style w:type="character" w:customStyle="1" w:styleId="Nadpis2Char">
    <w:name w:val="Nadpis 2 Char"/>
    <w:basedOn w:val="Predvolenpsmoodseku"/>
    <w:link w:val="Nadpis2"/>
    <w:rsid w:val="007426CE"/>
    <w:rPr>
      <w:rFonts w:ascii="Arial" w:eastAsia="Times New Roman" w:hAnsi="Arial" w:cs="Times New Roman"/>
      <w:b/>
      <w:bCs/>
      <w:iCs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9"/>
    <w:rsid w:val="00ED444F"/>
    <w:rPr>
      <w:rFonts w:ascii="Arial" w:eastAsia="Times New Roman" w:hAnsi="Arial" w:cs="Times New Roman"/>
      <w:b/>
      <w:bCs/>
      <w:kern w:val="32"/>
      <w:sz w:val="28"/>
      <w:szCs w:val="28"/>
    </w:rPr>
  </w:style>
  <w:style w:type="character" w:customStyle="1" w:styleId="Nadpis4Char">
    <w:name w:val="Nadpis 4 Char"/>
    <w:aliases w:val="h4 Char,Kapitola 4 Char,Nadpis 4T Char,V_Head4 Char,DOC_Head4 Char,podkap. 3 Char"/>
    <w:basedOn w:val="Predvolenpsmoodseku"/>
    <w:link w:val="Nadpis4"/>
    <w:uiPriority w:val="99"/>
    <w:rsid w:val="007426CE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7426CE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rsid w:val="007426CE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Predvolenpsmoodseku"/>
    <w:link w:val="Nadpis7"/>
    <w:rsid w:val="007426CE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Predvolenpsmoodseku"/>
    <w:link w:val="Nadpis8"/>
    <w:rsid w:val="007426C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Predvolenpsmoodseku"/>
    <w:link w:val="Nadpis9"/>
    <w:rsid w:val="007426C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bsah1">
    <w:name w:val="toc 1"/>
    <w:basedOn w:val="Normlny"/>
    <w:next w:val="Normlny"/>
    <w:uiPriority w:val="39"/>
    <w:rsid w:val="007426CE"/>
    <w:pPr>
      <w:tabs>
        <w:tab w:val="left" w:pos="480"/>
        <w:tab w:val="right" w:leader="dot" w:pos="8343"/>
      </w:tabs>
      <w:ind w:left="482" w:right="145" w:hanging="482"/>
    </w:pPr>
    <w:rPr>
      <w:rFonts w:ascii="Arial Narrow" w:eastAsia="Times New Roman" w:hAnsi="Arial Narrow"/>
      <w:b/>
    </w:rPr>
  </w:style>
  <w:style w:type="paragraph" w:styleId="Obsah2">
    <w:name w:val="toc 2"/>
    <w:basedOn w:val="Normlny"/>
    <w:next w:val="Normlny"/>
    <w:uiPriority w:val="39"/>
    <w:rsid w:val="007426CE"/>
    <w:pPr>
      <w:tabs>
        <w:tab w:val="left" w:pos="1200"/>
        <w:tab w:val="right" w:leader="dot" w:pos="8343"/>
      </w:tabs>
      <w:spacing w:before="60" w:after="60"/>
      <w:ind w:left="1202" w:right="147" w:hanging="720"/>
    </w:pPr>
    <w:rPr>
      <w:rFonts w:ascii="Arial Narrow" w:eastAsia="Times New Roman" w:hAnsi="Arial Narrow"/>
    </w:rPr>
  </w:style>
  <w:style w:type="paragraph" w:styleId="Obsah3">
    <w:name w:val="toc 3"/>
    <w:basedOn w:val="Normlny"/>
    <w:next w:val="Normlny"/>
    <w:uiPriority w:val="39"/>
    <w:rsid w:val="007426CE"/>
    <w:pPr>
      <w:tabs>
        <w:tab w:val="left" w:pos="2160"/>
        <w:tab w:val="right" w:leader="dot" w:pos="8343"/>
      </w:tabs>
      <w:spacing w:before="60" w:after="60"/>
      <w:ind w:left="2160" w:right="147" w:hanging="958"/>
    </w:pPr>
    <w:rPr>
      <w:rFonts w:ascii="Arial Narrow" w:eastAsia="Times New Roman" w:hAnsi="Arial Narrow"/>
    </w:rPr>
  </w:style>
  <w:style w:type="character" w:styleId="Hypertextovprepojenie">
    <w:name w:val="Hyperlink"/>
    <w:uiPriority w:val="99"/>
    <w:rsid w:val="007426CE"/>
    <w:rPr>
      <w:color w:val="0000FF"/>
      <w:u w:val="single"/>
    </w:rPr>
  </w:style>
  <w:style w:type="paragraph" w:styleId="Pta">
    <w:name w:val="footer"/>
    <w:basedOn w:val="Normlny"/>
    <w:link w:val="PtaChar"/>
    <w:rsid w:val="007426CE"/>
    <w:pPr>
      <w:tabs>
        <w:tab w:val="center" w:pos="4153"/>
        <w:tab w:val="right" w:pos="8306"/>
      </w:tabs>
    </w:pPr>
    <w:rPr>
      <w:rFonts w:ascii="Arial Narrow" w:eastAsia="Times New Roman" w:hAnsi="Arial Narrow"/>
      <w:sz w:val="16"/>
    </w:rPr>
  </w:style>
  <w:style w:type="character" w:customStyle="1" w:styleId="PtaChar">
    <w:name w:val="Päta Char"/>
    <w:basedOn w:val="Predvolenpsmoodseku"/>
    <w:link w:val="Pta"/>
    <w:rsid w:val="007426CE"/>
    <w:rPr>
      <w:rFonts w:ascii="Arial Narrow" w:eastAsia="Times New Roman" w:hAnsi="Arial Narrow" w:cs="Times New Roman"/>
      <w:sz w:val="16"/>
    </w:rPr>
  </w:style>
  <w:style w:type="character" w:styleId="slostrany">
    <w:name w:val="page number"/>
    <w:rsid w:val="007426CE"/>
    <w:rPr>
      <w:rFonts w:ascii="Arial" w:hAnsi="Arial"/>
      <w:sz w:val="22"/>
    </w:rPr>
  </w:style>
  <w:style w:type="paragraph" w:customStyle="1" w:styleId="TitleHeading">
    <w:name w:val="Title Heading"/>
    <w:next w:val="Normlny"/>
    <w:rsid w:val="007426CE"/>
    <w:pPr>
      <w:suppressAutoHyphens/>
      <w:spacing w:before="360" w:after="360" w:line="240" w:lineRule="auto"/>
    </w:pPr>
    <w:rPr>
      <w:rFonts w:ascii="Arial" w:eastAsia="Times New Roman" w:hAnsi="Arial" w:cs="Times New Roman"/>
      <w:b/>
      <w:sz w:val="36"/>
      <w:szCs w:val="20"/>
      <w:lang w:val="de-DE" w:eastAsia="de-DE"/>
    </w:rPr>
  </w:style>
  <w:style w:type="paragraph" w:customStyle="1" w:styleId="Odrazka">
    <w:name w:val="_Odrazka"/>
    <w:basedOn w:val="Normlny"/>
    <w:link w:val="OdrazkaChar1"/>
    <w:qFormat/>
    <w:rsid w:val="007426CE"/>
    <w:pPr>
      <w:numPr>
        <w:numId w:val="2"/>
      </w:numPr>
      <w:ind w:left="357" w:hanging="357"/>
      <w:contextualSpacing/>
    </w:pPr>
    <w:rPr>
      <w:rFonts w:ascii="Arial Narrow" w:hAnsi="Arial Narrow"/>
      <w:szCs w:val="20"/>
    </w:rPr>
  </w:style>
  <w:style w:type="character" w:customStyle="1" w:styleId="OdrazkaChar1">
    <w:name w:val="_Odrazka Char1"/>
    <w:link w:val="Odrazka"/>
    <w:locked/>
    <w:rsid w:val="007426CE"/>
    <w:rPr>
      <w:rFonts w:ascii="Arial Narrow" w:eastAsia="Calibri" w:hAnsi="Arial Narrow" w:cs="Times New Roman"/>
      <w:sz w:val="24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7426CE"/>
    <w:pPr>
      <w:tabs>
        <w:tab w:val="center" w:pos="4513"/>
        <w:tab w:val="right" w:pos="9026"/>
      </w:tabs>
    </w:pPr>
    <w:rPr>
      <w:rFonts w:ascii="Calibri" w:hAnsi="Calibri"/>
      <w:sz w:val="22"/>
    </w:rPr>
  </w:style>
  <w:style w:type="character" w:customStyle="1" w:styleId="HlavikaChar">
    <w:name w:val="Hlavička Char"/>
    <w:basedOn w:val="Predvolenpsmoodseku"/>
    <w:link w:val="Hlavika"/>
    <w:uiPriority w:val="99"/>
    <w:rsid w:val="007426CE"/>
    <w:rPr>
      <w:rFonts w:ascii="Calibri" w:eastAsia="Calibri" w:hAnsi="Calibri" w:cs="Times New Roman"/>
    </w:rPr>
  </w:style>
  <w:style w:type="paragraph" w:styleId="Popis">
    <w:name w:val="caption"/>
    <w:basedOn w:val="Normlny"/>
    <w:next w:val="Normlny"/>
    <w:qFormat/>
    <w:rsid w:val="007426CE"/>
    <w:pPr>
      <w:spacing w:after="240"/>
    </w:pPr>
    <w:rPr>
      <w:rFonts w:eastAsia="Times New Roman"/>
      <w:bCs/>
      <w:i/>
      <w:sz w:val="20"/>
    </w:rPr>
  </w:style>
  <w:style w:type="paragraph" w:customStyle="1" w:styleId="CapNormal">
    <w:name w:val="Cap_Normal"/>
    <w:link w:val="CapNormalChar"/>
    <w:rsid w:val="007426CE"/>
    <w:pPr>
      <w:spacing w:line="240" w:lineRule="auto"/>
    </w:pPr>
    <w:rPr>
      <w:rFonts w:ascii="Times New Roman" w:eastAsia="Times New Roman" w:hAnsi="Times New Roman" w:cs="Times New Roman"/>
      <w:szCs w:val="24"/>
      <w:lang w:val="en-US" w:eastAsia="en-CA"/>
    </w:rPr>
  </w:style>
  <w:style w:type="character" w:customStyle="1" w:styleId="CapNormalChar">
    <w:name w:val="Cap_Normal Char"/>
    <w:link w:val="CapNormal"/>
    <w:locked/>
    <w:rsid w:val="007426CE"/>
    <w:rPr>
      <w:rFonts w:ascii="Times New Roman" w:eastAsia="Times New Roman" w:hAnsi="Times New Roman" w:cs="Times New Roman"/>
      <w:szCs w:val="24"/>
      <w:lang w:val="en-US" w:eastAsia="en-CA"/>
    </w:rPr>
  </w:style>
  <w:style w:type="character" w:customStyle="1" w:styleId="longtext">
    <w:name w:val="long_text"/>
    <w:basedOn w:val="Predvolenpsmoodseku"/>
    <w:rsid w:val="007426CE"/>
  </w:style>
  <w:style w:type="paragraph" w:styleId="Nzov">
    <w:name w:val="Title"/>
    <w:basedOn w:val="Normlny"/>
    <w:next w:val="Normlny"/>
    <w:link w:val="NzovChar"/>
    <w:uiPriority w:val="10"/>
    <w:qFormat/>
    <w:rsid w:val="007426CE"/>
    <w:pPr>
      <w:spacing w:before="240" w:after="60"/>
      <w:jc w:val="center"/>
      <w:outlineLvl w:val="0"/>
    </w:pPr>
    <w:rPr>
      <w:rFonts w:eastAsia="Times New Roman"/>
      <w:b/>
      <w:bCs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7426CE"/>
    <w:rPr>
      <w:rFonts w:ascii="Arial" w:eastAsia="Times New Roman" w:hAnsi="Arial" w:cs="Times New Roman"/>
      <w:b/>
      <w:bCs/>
      <w:kern w:val="28"/>
      <w:sz w:val="52"/>
      <w:szCs w:val="52"/>
    </w:rPr>
  </w:style>
  <w:style w:type="paragraph" w:styleId="Zoznamsodrkami">
    <w:name w:val="List Bullet"/>
    <w:basedOn w:val="Normlny"/>
    <w:link w:val="ZoznamsodrkamiChar"/>
    <w:autoRedefine/>
    <w:rsid w:val="007426CE"/>
    <w:pPr>
      <w:numPr>
        <w:numId w:val="3"/>
      </w:numPr>
      <w:spacing w:after="200"/>
      <w:ind w:right="-57"/>
      <w:contextualSpacing/>
    </w:pPr>
    <w:rPr>
      <w:rFonts w:ascii="Arial Narrow" w:hAnsi="Arial Narrow"/>
      <w:spacing w:val="-6"/>
    </w:rPr>
  </w:style>
  <w:style w:type="character" w:customStyle="1" w:styleId="ZoznamsodrkamiChar">
    <w:name w:val="Zoznam s odrážkami Char"/>
    <w:link w:val="Zoznamsodrkami"/>
    <w:rsid w:val="007426CE"/>
    <w:rPr>
      <w:rFonts w:ascii="Arial Narrow" w:eastAsia="Calibri" w:hAnsi="Arial Narrow" w:cs="Times New Roman"/>
      <w:spacing w:val="-6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26CE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26CE"/>
    <w:rPr>
      <w:rFonts w:ascii="Tahoma" w:eastAsia="Calibri" w:hAnsi="Tahoma" w:cs="Times New Roman"/>
      <w:sz w:val="16"/>
      <w:szCs w:val="16"/>
    </w:rPr>
  </w:style>
  <w:style w:type="paragraph" w:customStyle="1" w:styleId="ListBullet1">
    <w:name w:val="List Bullet 1"/>
    <w:basedOn w:val="Zoznamsodrkami"/>
    <w:link w:val="ListBullet1Char"/>
    <w:qFormat/>
    <w:rsid w:val="007426CE"/>
    <w:pPr>
      <w:numPr>
        <w:numId w:val="4"/>
      </w:numPr>
    </w:pPr>
  </w:style>
  <w:style w:type="character" w:customStyle="1" w:styleId="ListBullet1Char">
    <w:name w:val="List Bullet 1 Char"/>
    <w:basedOn w:val="ZoznamsodrkamiChar"/>
    <w:link w:val="ListBullet1"/>
    <w:rsid w:val="007426CE"/>
    <w:rPr>
      <w:rFonts w:ascii="Arial Narrow" w:eastAsia="Calibri" w:hAnsi="Arial Narrow" w:cs="Times New Roman"/>
      <w:spacing w:val="-6"/>
      <w:sz w:val="24"/>
    </w:rPr>
  </w:style>
  <w:style w:type="table" w:styleId="Mriekatabuky">
    <w:name w:val="Table Grid"/>
    <w:basedOn w:val="Normlnatabuka"/>
    <w:uiPriority w:val="59"/>
    <w:rsid w:val="007426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ruktradokumentu">
    <w:name w:val="Document Map"/>
    <w:basedOn w:val="Normlny"/>
    <w:link w:val="truktradokumentuChar"/>
    <w:uiPriority w:val="99"/>
    <w:rsid w:val="007426C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7426CE"/>
    <w:rPr>
      <w:rFonts w:ascii="Tahoma" w:eastAsia="Calibri" w:hAnsi="Tahoma" w:cs="Times New Roman"/>
      <w:sz w:val="20"/>
      <w:szCs w:val="20"/>
      <w:shd w:val="clear" w:color="auto" w:fill="000080"/>
    </w:rPr>
  </w:style>
  <w:style w:type="paragraph" w:customStyle="1" w:styleId="AppendixHeading2">
    <w:name w:val="Appendix Heading 2"/>
    <w:basedOn w:val="Nadpis2"/>
    <w:next w:val="Zkladntext"/>
    <w:rsid w:val="007426CE"/>
    <w:pPr>
      <w:numPr>
        <w:ilvl w:val="0"/>
        <w:numId w:val="0"/>
      </w:numPr>
      <w:tabs>
        <w:tab w:val="num" w:pos="0"/>
      </w:tabs>
      <w:suppressAutoHyphens w:val="0"/>
      <w:spacing w:before="400" w:after="0" w:line="320" w:lineRule="exact"/>
      <w:ind w:hanging="964"/>
      <w:jc w:val="left"/>
      <w:outlineLvl w:val="9"/>
    </w:pPr>
    <w:rPr>
      <w:rFonts w:ascii="Times New Roman" w:hAnsi="Times New Roman"/>
      <w:bCs w:val="0"/>
      <w:iCs w:val="0"/>
      <w:szCs w:val="20"/>
      <w:lang w:val="en-US"/>
    </w:rPr>
  </w:style>
  <w:style w:type="paragraph" w:styleId="Zkladntext">
    <w:name w:val="Body Text"/>
    <w:basedOn w:val="Normlny"/>
    <w:link w:val="ZkladntextChar"/>
    <w:rsid w:val="007426CE"/>
  </w:style>
  <w:style w:type="character" w:customStyle="1" w:styleId="ZkladntextChar">
    <w:name w:val="Základný text Char"/>
    <w:basedOn w:val="Predvolenpsmoodseku"/>
    <w:link w:val="Zkladntext"/>
    <w:rsid w:val="007426CE"/>
    <w:rPr>
      <w:rFonts w:ascii="Arial" w:eastAsia="Calibri" w:hAnsi="Arial" w:cs="Times New Roman"/>
      <w:sz w:val="24"/>
    </w:rPr>
  </w:style>
  <w:style w:type="paragraph" w:customStyle="1" w:styleId="ListParagraph1">
    <w:name w:val="List Paragraph1"/>
    <w:basedOn w:val="Normlny"/>
    <w:qFormat/>
    <w:rsid w:val="007426CE"/>
    <w:pPr>
      <w:spacing w:after="200" w:line="360" w:lineRule="auto"/>
      <w:ind w:left="720"/>
      <w:contextualSpacing/>
    </w:pPr>
  </w:style>
  <w:style w:type="character" w:customStyle="1" w:styleId="CharChar10">
    <w:name w:val="Char Char10"/>
    <w:locked/>
    <w:rsid w:val="007426CE"/>
    <w:rPr>
      <w:rFonts w:ascii="Arial Narrow" w:hAnsi="Arial Narrow" w:cs="Arial"/>
      <w:b/>
      <w:bCs/>
      <w:iCs/>
      <w:sz w:val="28"/>
      <w:szCs w:val="28"/>
      <w:lang w:val="sk-SK" w:eastAsia="en-US" w:bidi="ar-SA"/>
    </w:rPr>
  </w:style>
  <w:style w:type="character" w:styleId="Odkaznakomentr">
    <w:name w:val="annotation reference"/>
    <w:uiPriority w:val="99"/>
    <w:semiHidden/>
    <w:unhideWhenUsed/>
    <w:rsid w:val="007426C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426CE"/>
    <w:rPr>
      <w:rFonts w:ascii="Calibri" w:hAnsi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426CE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426C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426C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ocName">
    <w:name w:val="DocName"/>
    <w:basedOn w:val="Normlny"/>
    <w:next w:val="Normlny"/>
    <w:rsid w:val="007426CE"/>
    <w:pPr>
      <w:keepLines/>
      <w:spacing w:before="4000"/>
      <w:jc w:val="center"/>
    </w:pPr>
    <w:rPr>
      <w:rFonts w:ascii="Times New Roman" w:eastAsia="Times New Roman" w:hAnsi="Times New Roman"/>
      <w:b/>
      <w:sz w:val="60"/>
      <w:szCs w:val="20"/>
    </w:rPr>
  </w:style>
  <w:style w:type="paragraph" w:customStyle="1" w:styleId="DocSubTitle">
    <w:name w:val="DocSubTitle"/>
    <w:basedOn w:val="Normlny"/>
    <w:next w:val="Normlny"/>
    <w:rsid w:val="007426CE"/>
    <w:pPr>
      <w:spacing w:before="240" w:after="180"/>
    </w:pPr>
    <w:rPr>
      <w:rFonts w:eastAsia="Times New Roman"/>
      <w:sz w:val="48"/>
      <w:szCs w:val="20"/>
    </w:rPr>
  </w:style>
  <w:style w:type="character" w:styleId="Nzovknihy">
    <w:name w:val="Book Title"/>
    <w:uiPriority w:val="33"/>
    <w:qFormat/>
    <w:rsid w:val="007426CE"/>
    <w:rPr>
      <w:rFonts w:ascii="Arial" w:hAnsi="Arial"/>
      <w:b/>
      <w:bCs/>
      <w:smallCaps/>
      <w:spacing w:val="5"/>
      <w:sz w:val="52"/>
    </w:rPr>
  </w:style>
  <w:style w:type="character" w:styleId="Siln">
    <w:name w:val="Strong"/>
    <w:qFormat/>
    <w:rsid w:val="007426CE"/>
    <w:rPr>
      <w:rFonts w:ascii="Arial" w:hAnsi="Arial"/>
      <w:b/>
      <w:bCs/>
      <w:sz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426CE"/>
    <w:pPr>
      <w:spacing w:after="60"/>
      <w:jc w:val="center"/>
      <w:outlineLvl w:val="1"/>
    </w:pPr>
    <w:rPr>
      <w:rFonts w:eastAsia="Times New Roman"/>
      <w:sz w:val="52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7426CE"/>
    <w:rPr>
      <w:rFonts w:ascii="Arial" w:eastAsia="Times New Roman" w:hAnsi="Arial" w:cs="Times New Roman"/>
      <w:sz w:val="52"/>
      <w:szCs w:val="24"/>
    </w:rPr>
  </w:style>
  <w:style w:type="paragraph" w:customStyle="1" w:styleId="Style1">
    <w:name w:val="Style1"/>
    <w:basedOn w:val="Normlny"/>
    <w:link w:val="Style1Char"/>
    <w:qFormat/>
    <w:rsid w:val="007426CE"/>
    <w:pPr>
      <w:jc w:val="center"/>
    </w:pPr>
    <w:rPr>
      <w:sz w:val="52"/>
      <w:szCs w:val="52"/>
    </w:rPr>
  </w:style>
  <w:style w:type="paragraph" w:styleId="Odsekzoznamu">
    <w:name w:val="List Paragraph"/>
    <w:basedOn w:val="Normlny"/>
    <w:uiPriority w:val="34"/>
    <w:qFormat/>
    <w:rsid w:val="007426CE"/>
    <w:pPr>
      <w:spacing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Style1Char">
    <w:name w:val="Style1 Char"/>
    <w:link w:val="Style1"/>
    <w:rsid w:val="007426CE"/>
    <w:rPr>
      <w:rFonts w:ascii="Arial" w:eastAsia="Calibri" w:hAnsi="Arial" w:cs="Times New Roman"/>
      <w:sz w:val="52"/>
      <w:szCs w:val="52"/>
    </w:rPr>
  </w:style>
  <w:style w:type="paragraph" w:styleId="Textpoznmkypodiarou">
    <w:name w:val="footnote text"/>
    <w:basedOn w:val="Normlny"/>
    <w:link w:val="TextpoznmkypodiarouChar"/>
    <w:unhideWhenUsed/>
    <w:rsid w:val="007426C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7426CE"/>
    <w:rPr>
      <w:rFonts w:ascii="Arial" w:eastAsia="Calibri" w:hAnsi="Arial" w:cs="Times New Roman"/>
      <w:sz w:val="20"/>
      <w:szCs w:val="20"/>
    </w:rPr>
  </w:style>
  <w:style w:type="character" w:styleId="Odkaznapoznmkupodiarou">
    <w:name w:val="footnote reference"/>
    <w:unhideWhenUsed/>
    <w:rsid w:val="007426CE"/>
    <w:rPr>
      <w:vertAlign w:val="superscript"/>
    </w:rPr>
  </w:style>
  <w:style w:type="paragraph" w:customStyle="1" w:styleId="Paragraph">
    <w:name w:val="!Paragraph"/>
    <w:basedOn w:val="Normlny"/>
    <w:link w:val="ParagraphChar"/>
    <w:rsid w:val="007426CE"/>
    <w:pPr>
      <w:spacing w:before="130" w:after="130" w:line="320" w:lineRule="exact"/>
    </w:pPr>
    <w:rPr>
      <w:rFonts w:ascii="Arial Narrow" w:eastAsia="Times New Roman" w:hAnsi="Arial Narrow"/>
      <w:sz w:val="22"/>
      <w:szCs w:val="20"/>
    </w:rPr>
  </w:style>
  <w:style w:type="character" w:customStyle="1" w:styleId="ParagraphChar">
    <w:name w:val="!Paragraph Char"/>
    <w:link w:val="Paragraph"/>
    <w:locked/>
    <w:rsid w:val="007426CE"/>
    <w:rPr>
      <w:rFonts w:ascii="Arial Narrow" w:eastAsia="Times New Roman" w:hAnsi="Arial Narrow" w:cs="Times New Roman"/>
      <w:szCs w:val="20"/>
    </w:rPr>
  </w:style>
  <w:style w:type="paragraph" w:customStyle="1" w:styleId="Bulleted1">
    <w:name w:val="!Bulleted 1"/>
    <w:basedOn w:val="Paragraph"/>
    <w:link w:val="Bulleted1Char"/>
    <w:rsid w:val="007426CE"/>
    <w:pPr>
      <w:numPr>
        <w:numId w:val="6"/>
      </w:numPr>
      <w:spacing w:before="60" w:after="60"/>
    </w:pPr>
  </w:style>
  <w:style w:type="character" w:customStyle="1" w:styleId="Bulleted1Char">
    <w:name w:val="!Bulleted 1 Char"/>
    <w:link w:val="Bulleted1"/>
    <w:rsid w:val="007426CE"/>
    <w:rPr>
      <w:rFonts w:ascii="Arial Narrow" w:eastAsia="Times New Roman" w:hAnsi="Arial Narrow" w:cs="Times New Roman"/>
      <w:szCs w:val="20"/>
    </w:rPr>
  </w:style>
  <w:style w:type="paragraph" w:customStyle="1" w:styleId="ParagraphBold2">
    <w:name w:val="!Paragraph + Bold2"/>
    <w:basedOn w:val="Paragraph"/>
    <w:next w:val="Paragraph"/>
    <w:rsid w:val="007426CE"/>
    <w:pPr>
      <w:keepNext/>
      <w:spacing w:before="240"/>
    </w:pPr>
    <w:rPr>
      <w:b/>
      <w:bCs/>
    </w:rPr>
  </w:style>
  <w:style w:type="paragraph" w:customStyle="1" w:styleId="Bulleted2">
    <w:name w:val="!Bulleted 2"/>
    <w:basedOn w:val="Paragraph"/>
    <w:link w:val="Bulleted2Char"/>
    <w:autoRedefine/>
    <w:rsid w:val="007426CE"/>
    <w:pPr>
      <w:numPr>
        <w:ilvl w:val="1"/>
        <w:numId w:val="7"/>
      </w:numPr>
      <w:tabs>
        <w:tab w:val="clear" w:pos="1440"/>
        <w:tab w:val="left" w:pos="357"/>
      </w:tabs>
      <w:ind w:left="697" w:hanging="340"/>
      <w:contextualSpacing/>
    </w:pPr>
    <w:rPr>
      <w:szCs w:val="22"/>
    </w:rPr>
  </w:style>
  <w:style w:type="paragraph" w:customStyle="1" w:styleId="Reporttextfinal">
    <w:name w:val="Report text final"/>
    <w:basedOn w:val="Normlny"/>
    <w:link w:val="ReporttextfinalChar"/>
    <w:qFormat/>
    <w:rsid w:val="007426CE"/>
    <w:pPr>
      <w:spacing w:before="130" w:after="130" w:line="320" w:lineRule="exact"/>
    </w:pPr>
    <w:rPr>
      <w:rFonts w:ascii="Arial Narrow" w:eastAsia="Times New Roman" w:hAnsi="Arial Narrow"/>
      <w:sz w:val="22"/>
      <w:szCs w:val="20"/>
    </w:rPr>
  </w:style>
  <w:style w:type="character" w:customStyle="1" w:styleId="ReporttextfinalChar">
    <w:name w:val="Report text final Char"/>
    <w:link w:val="Reporttextfinal"/>
    <w:rsid w:val="007426CE"/>
    <w:rPr>
      <w:rFonts w:ascii="Arial Narrow" w:eastAsia="Times New Roman" w:hAnsi="Arial Narrow" w:cs="Times New Roman"/>
      <w:szCs w:val="20"/>
    </w:rPr>
  </w:style>
  <w:style w:type="character" w:customStyle="1" w:styleId="Bulleted2Char">
    <w:name w:val="!Bulleted 2 Char"/>
    <w:link w:val="Bulleted2"/>
    <w:rsid w:val="007426CE"/>
    <w:rPr>
      <w:rFonts w:ascii="Arial Narrow" w:eastAsia="Times New Roman" w:hAnsi="Arial Narrow" w:cs="Times New Roman"/>
    </w:rPr>
  </w:style>
  <w:style w:type="paragraph" w:styleId="Zoznamsodrkami2">
    <w:name w:val="List Bullet 2"/>
    <w:basedOn w:val="Normlny"/>
    <w:uiPriority w:val="99"/>
    <w:unhideWhenUsed/>
    <w:rsid w:val="007426CE"/>
    <w:pPr>
      <w:numPr>
        <w:numId w:val="8"/>
      </w:numPr>
      <w:contextualSpacing/>
    </w:pPr>
  </w:style>
  <w:style w:type="paragraph" w:customStyle="1" w:styleId="Priloha">
    <w:name w:val="Priloha"/>
    <w:next w:val="Normlny"/>
    <w:link w:val="PrilohaChar"/>
    <w:qFormat/>
    <w:rsid w:val="007426CE"/>
    <w:pPr>
      <w:numPr>
        <w:numId w:val="9"/>
      </w:numPr>
      <w:spacing w:after="0" w:line="240" w:lineRule="auto"/>
      <w:outlineLvl w:val="0"/>
    </w:pPr>
    <w:rPr>
      <w:rFonts w:ascii="Arial" w:eastAsia="Times New Roman" w:hAnsi="Arial" w:cs="Times New Roman"/>
      <w:b/>
      <w:bCs/>
      <w:kern w:val="32"/>
      <w:sz w:val="40"/>
      <w:szCs w:val="40"/>
    </w:rPr>
  </w:style>
  <w:style w:type="paragraph" w:styleId="Normlnywebov">
    <w:name w:val="Normal (Web)"/>
    <w:basedOn w:val="Normlny"/>
    <w:uiPriority w:val="99"/>
    <w:semiHidden/>
    <w:unhideWhenUsed/>
    <w:rsid w:val="007426CE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sk-SK"/>
    </w:rPr>
  </w:style>
  <w:style w:type="character" w:customStyle="1" w:styleId="PrilohaChar">
    <w:name w:val="Priloha Char"/>
    <w:link w:val="Priloha"/>
    <w:rsid w:val="007426CE"/>
    <w:rPr>
      <w:rFonts w:ascii="Arial" w:eastAsia="Times New Roman" w:hAnsi="Arial" w:cs="Times New Roman"/>
      <w:b/>
      <w:bCs/>
      <w:kern w:val="32"/>
      <w:sz w:val="40"/>
      <w:szCs w:val="40"/>
    </w:rPr>
  </w:style>
  <w:style w:type="character" w:styleId="PouitHypertextovPrepojenie">
    <w:name w:val="FollowedHyperlink"/>
    <w:uiPriority w:val="99"/>
    <w:semiHidden/>
    <w:unhideWhenUsed/>
    <w:rsid w:val="007426CE"/>
    <w:rPr>
      <w:color w:val="800080"/>
      <w:u w:val="single"/>
    </w:rPr>
  </w:style>
  <w:style w:type="paragraph" w:styleId="Revzia">
    <w:name w:val="Revision"/>
    <w:hidden/>
    <w:uiPriority w:val="99"/>
    <w:semiHidden/>
    <w:rsid w:val="007426CE"/>
    <w:pPr>
      <w:spacing w:after="0" w:line="240" w:lineRule="auto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C7078-98F4-4D8F-BD0C-0BE3AB3696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19F87D-FCD4-4822-9AF7-CACB328E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6106</Words>
  <Characters>34808</Characters>
  <Application>Microsoft Office Word</Application>
  <DocSecurity>0</DocSecurity>
  <Lines>290</Lines>
  <Paragraphs>81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2014-12-18T13:37:00Z</dcterms:created>
  <dcterms:modified xsi:type="dcterms:W3CDTF">2014-12-18T13:37:00Z</dcterms:modified>
</cp:coreProperties>
</file>